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432" w:rsidRDefault="00E51AEC">
      <w:pPr>
        <w:ind w:left="0" w:firstLine="0"/>
        <w:jc w:val="center"/>
      </w:pPr>
      <w:r>
        <w:rPr>
          <w:rFonts w:ascii="华文中宋" w:eastAsia="华文中宋" w:hAnsi="宋体"/>
          <w:b/>
          <w:color w:val="000000"/>
          <w:sz w:val="36"/>
        </w:rPr>
        <w:t xml:space="preserve">   </w:t>
      </w:r>
      <w:r>
        <w:rPr>
          <w:rFonts w:ascii="华文中宋" w:eastAsia="华文中宋" w:hAnsi="宋体"/>
          <w:b/>
          <w:color w:val="000000"/>
          <w:sz w:val="36"/>
        </w:rPr>
        <w:t> </w:t>
      </w:r>
    </w:p>
    <w:p w:rsidR="00EA4432" w:rsidRDefault="00EA4432">
      <w:pPr>
        <w:ind w:left="0" w:firstLine="0"/>
        <w:jc w:val="center"/>
      </w:pPr>
    </w:p>
    <w:p w:rsidR="00EA4432" w:rsidRDefault="00E51AEC">
      <w:pPr>
        <w:ind w:left="0" w:firstLine="0"/>
        <w:jc w:val="center"/>
      </w:pPr>
      <w:bookmarkStart w:id="0" w:name="_GoBack"/>
      <w:bookmarkEnd w:id="0"/>
      <w:r>
        <w:rPr>
          <w:rFonts w:ascii="华文中宋" w:eastAsia="华文中宋" w:hAnsi="宋体"/>
          <w:b/>
          <w:color w:val="000000"/>
          <w:sz w:val="36"/>
        </w:rPr>
        <w:t xml:space="preserve">   </w:t>
      </w:r>
      <w:r>
        <w:rPr>
          <w:rFonts w:ascii="华文中宋" w:eastAsia="华文中宋" w:hAnsi="宋体"/>
          <w:b/>
          <w:color w:val="000000"/>
          <w:sz w:val="36"/>
        </w:rPr>
        <w:t> </w:t>
      </w: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51AEC">
      <w:pPr>
        <w:ind w:left="0" w:firstLine="0"/>
        <w:jc w:val="center"/>
      </w:pPr>
      <w:r>
        <w:rPr>
          <w:rFonts w:ascii="华文中宋" w:eastAsia="华文中宋" w:hAnsi="宋体" w:hint="eastAsia"/>
          <w:b/>
          <w:color w:val="000000"/>
          <w:sz w:val="54"/>
        </w:rPr>
        <w:t>刘海粟美术馆</w:t>
      </w:r>
    </w:p>
    <w:p w:rsidR="00EA4432" w:rsidRDefault="00E51AEC">
      <w:pPr>
        <w:ind w:left="0" w:firstLine="0"/>
        <w:jc w:val="center"/>
      </w:pPr>
      <w:r>
        <w:rPr>
          <w:rFonts w:ascii="华文中宋" w:eastAsia="华文中宋" w:hAnsi="宋体"/>
          <w:b/>
          <w:color w:val="000000"/>
          <w:sz w:val="54"/>
        </w:rPr>
        <w:t xml:space="preserve"> 2018</w:t>
      </w:r>
      <w:r w:rsidR="001D6716">
        <w:rPr>
          <w:rFonts w:ascii="华文中宋" w:eastAsia="华文中宋" w:hAnsi="宋体" w:hint="eastAsia"/>
          <w:b/>
          <w:color w:val="000000"/>
          <w:sz w:val="54"/>
        </w:rPr>
        <w:t>年度</w:t>
      </w:r>
      <w:r>
        <w:rPr>
          <w:rFonts w:ascii="华文中宋" w:eastAsia="华文中宋" w:hAnsi="宋体" w:hint="eastAsia"/>
          <w:b/>
          <w:color w:val="000000"/>
          <w:sz w:val="54"/>
        </w:rPr>
        <w:t>决算</w:t>
      </w: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center"/>
      </w:pPr>
    </w:p>
    <w:p w:rsidR="00EA4432" w:rsidRDefault="00EA4432">
      <w:pPr>
        <w:ind w:left="0" w:firstLine="0"/>
        <w:jc w:val="left"/>
      </w:pPr>
    </w:p>
    <w:p w:rsidR="00EA4432" w:rsidRDefault="00E51AEC">
      <w:r>
        <w:br w:type="page"/>
      </w:r>
    </w:p>
    <w:p w:rsidR="00EA4432" w:rsidRDefault="00E51AEC">
      <w:pPr>
        <w:spacing w:line="360" w:lineRule="auto"/>
        <w:ind w:left="0" w:firstLine="0"/>
        <w:jc w:val="center"/>
      </w:pPr>
      <w:r>
        <w:rPr>
          <w:rFonts w:ascii="黑体" w:eastAsia="黑体" w:hAnsi="宋体" w:hint="eastAsia"/>
          <w:b/>
          <w:color w:val="000000"/>
          <w:sz w:val="31"/>
        </w:rPr>
        <w:t>目</w:t>
      </w:r>
      <w:r>
        <w:rPr>
          <w:rFonts w:ascii="黑体" w:eastAsia="黑体" w:hAnsi="宋体"/>
          <w:b/>
          <w:color w:val="000000"/>
          <w:sz w:val="31"/>
        </w:rPr>
        <w:t xml:space="preserve"> </w:t>
      </w:r>
      <w:r>
        <w:rPr>
          <w:rFonts w:ascii="黑体" w:eastAsia="黑体" w:hAnsi="宋体"/>
          <w:b/>
          <w:color w:val="000000"/>
          <w:sz w:val="31"/>
        </w:rPr>
        <w:t> </w:t>
      </w:r>
      <w:r>
        <w:rPr>
          <w:rFonts w:ascii="黑体" w:eastAsia="黑体" w:hAnsi="宋体" w:hint="eastAsia"/>
          <w:b/>
          <w:color w:val="000000"/>
          <w:sz w:val="31"/>
        </w:rPr>
        <w:t>录</w:t>
      </w:r>
    </w:p>
    <w:p w:rsidR="00EA4432" w:rsidRDefault="00EA4432">
      <w:pPr>
        <w:spacing w:line="360" w:lineRule="auto"/>
        <w:ind w:left="0" w:firstLine="0"/>
        <w:jc w:val="center"/>
      </w:pPr>
    </w:p>
    <w:p w:rsidR="00EA4432" w:rsidRDefault="00E51AEC">
      <w:pPr>
        <w:spacing w:line="360" w:lineRule="auto"/>
        <w:ind w:left="0" w:firstLine="0"/>
        <w:jc w:val="left"/>
      </w:pPr>
      <w:r>
        <w:rPr>
          <w:rFonts w:ascii="黑体" w:eastAsia="黑体" w:hAnsi="宋体" w:hint="eastAsia"/>
          <w:color w:val="000000"/>
          <w:sz w:val="30"/>
        </w:rPr>
        <w:t>第一部分刘海粟美术馆概况</w:t>
      </w:r>
    </w:p>
    <w:p w:rsidR="00EA4432" w:rsidRDefault="00E51AEC">
      <w:pPr>
        <w:spacing w:line="360" w:lineRule="auto"/>
        <w:ind w:left="0" w:firstLine="0"/>
        <w:jc w:val="left"/>
      </w:pPr>
      <w:r>
        <w:rPr>
          <w:rFonts w:ascii="黑体" w:eastAsia="黑体" w:hAnsi="宋体" w:hint="eastAsia"/>
          <w:color w:val="000000"/>
          <w:sz w:val="30"/>
        </w:rPr>
        <w:t>一、主要职能</w:t>
      </w:r>
    </w:p>
    <w:p w:rsidR="00EA4432" w:rsidRDefault="00E51AEC">
      <w:pPr>
        <w:spacing w:line="360" w:lineRule="auto"/>
        <w:ind w:left="0" w:firstLine="0"/>
        <w:jc w:val="left"/>
      </w:pPr>
      <w:r>
        <w:rPr>
          <w:rFonts w:ascii="黑体" w:eastAsia="黑体" w:hAnsi="宋体" w:hint="eastAsia"/>
          <w:color w:val="000000"/>
          <w:sz w:val="30"/>
        </w:rPr>
        <w:t>二、机构设置</w:t>
      </w:r>
    </w:p>
    <w:p w:rsidR="00EA4432" w:rsidRDefault="00E51AEC">
      <w:pPr>
        <w:spacing w:line="360" w:lineRule="auto"/>
        <w:ind w:left="0" w:firstLine="0"/>
        <w:jc w:val="left"/>
      </w:pPr>
      <w:r>
        <w:rPr>
          <w:rFonts w:ascii="黑体" w:eastAsia="黑体" w:hAnsi="宋体" w:hint="eastAsia"/>
          <w:color w:val="000000"/>
          <w:sz w:val="30"/>
        </w:rPr>
        <w:t>第二部分刘海粟美术馆</w:t>
      </w:r>
      <w:r>
        <w:rPr>
          <w:rFonts w:ascii="黑体" w:eastAsia="黑体" w:hAnsi="宋体"/>
          <w:color w:val="000000"/>
          <w:sz w:val="30"/>
        </w:rPr>
        <w:t xml:space="preserve"> 2018</w:t>
      </w:r>
      <w:r w:rsidR="001D6716">
        <w:rPr>
          <w:rFonts w:ascii="黑体" w:eastAsia="黑体" w:hAnsi="宋体" w:hint="eastAsia"/>
          <w:color w:val="000000"/>
          <w:sz w:val="30"/>
        </w:rPr>
        <w:t>年度</w:t>
      </w:r>
      <w:r>
        <w:rPr>
          <w:rFonts w:ascii="黑体" w:eastAsia="黑体" w:hAnsi="宋体" w:hint="eastAsia"/>
          <w:color w:val="000000"/>
          <w:sz w:val="30"/>
        </w:rPr>
        <w:t>决算表</w:t>
      </w:r>
    </w:p>
    <w:p w:rsidR="00EA4432" w:rsidRDefault="00E51AEC">
      <w:pPr>
        <w:spacing w:line="360" w:lineRule="auto"/>
        <w:ind w:left="0" w:firstLine="0"/>
        <w:jc w:val="left"/>
      </w:pPr>
      <w:r>
        <w:rPr>
          <w:rFonts w:ascii="黑体" w:eastAsia="黑体" w:hAnsi="宋体" w:hint="eastAsia"/>
          <w:color w:val="000000"/>
          <w:sz w:val="30"/>
        </w:rPr>
        <w:t>一、收入支出决算总表</w:t>
      </w:r>
    </w:p>
    <w:p w:rsidR="00EA4432" w:rsidRDefault="00E51AEC">
      <w:pPr>
        <w:spacing w:line="360" w:lineRule="auto"/>
        <w:ind w:left="0" w:firstLine="0"/>
        <w:jc w:val="left"/>
      </w:pPr>
      <w:r>
        <w:rPr>
          <w:rFonts w:ascii="黑体" w:eastAsia="黑体" w:hAnsi="宋体" w:hint="eastAsia"/>
          <w:color w:val="000000"/>
          <w:sz w:val="30"/>
        </w:rPr>
        <w:t>二、收入决算表</w:t>
      </w:r>
    </w:p>
    <w:p w:rsidR="00EA4432" w:rsidRDefault="00E51AEC">
      <w:pPr>
        <w:spacing w:line="360" w:lineRule="auto"/>
        <w:ind w:left="0" w:firstLine="0"/>
        <w:jc w:val="left"/>
      </w:pPr>
      <w:r>
        <w:rPr>
          <w:rFonts w:ascii="黑体" w:eastAsia="黑体" w:hAnsi="宋体" w:hint="eastAsia"/>
          <w:color w:val="000000"/>
          <w:sz w:val="30"/>
        </w:rPr>
        <w:t>三、支出决算表</w:t>
      </w:r>
    </w:p>
    <w:p w:rsidR="00EA4432" w:rsidRDefault="00E51AEC">
      <w:pPr>
        <w:spacing w:line="360" w:lineRule="auto"/>
        <w:ind w:left="0" w:firstLine="0"/>
        <w:jc w:val="left"/>
      </w:pPr>
      <w:r>
        <w:rPr>
          <w:rFonts w:ascii="黑体" w:eastAsia="黑体" w:hAnsi="宋体" w:hint="eastAsia"/>
          <w:color w:val="000000"/>
          <w:sz w:val="30"/>
        </w:rPr>
        <w:t>四、财政拨款收入支出决算总表</w:t>
      </w:r>
    </w:p>
    <w:p w:rsidR="00EA4432" w:rsidRDefault="00E51AEC">
      <w:pPr>
        <w:spacing w:line="360" w:lineRule="auto"/>
        <w:ind w:left="0" w:firstLine="0"/>
        <w:jc w:val="left"/>
      </w:pPr>
      <w:r>
        <w:rPr>
          <w:rFonts w:ascii="黑体" w:eastAsia="黑体" w:hAnsi="宋体" w:hint="eastAsia"/>
          <w:color w:val="000000"/>
          <w:sz w:val="30"/>
        </w:rPr>
        <w:t>五、一般公共预算财政拨款支出决算表</w:t>
      </w:r>
    </w:p>
    <w:p w:rsidR="00EA4432" w:rsidRDefault="00E51AEC">
      <w:pPr>
        <w:spacing w:line="360" w:lineRule="auto"/>
        <w:ind w:left="0" w:firstLine="0"/>
        <w:jc w:val="left"/>
      </w:pPr>
      <w:r>
        <w:rPr>
          <w:rFonts w:ascii="黑体" w:eastAsia="黑体" w:hAnsi="宋体" w:hint="eastAsia"/>
          <w:color w:val="000000"/>
          <w:sz w:val="30"/>
        </w:rPr>
        <w:t>六、一般公共预算财政拨款基本支出决算表</w:t>
      </w:r>
    </w:p>
    <w:p w:rsidR="00EA4432" w:rsidRDefault="00E51AEC">
      <w:pPr>
        <w:spacing w:line="360" w:lineRule="auto"/>
        <w:ind w:left="0" w:firstLine="0"/>
        <w:jc w:val="left"/>
      </w:pPr>
      <w:r>
        <w:rPr>
          <w:rFonts w:ascii="黑体" w:eastAsia="黑体" w:hAnsi="宋体" w:hint="eastAsia"/>
          <w:color w:val="000000"/>
          <w:sz w:val="30"/>
        </w:rPr>
        <w:t>七、一般公共预算财政拨款“三公”经费及机关运行经费支出决算表</w:t>
      </w:r>
    </w:p>
    <w:p w:rsidR="00EA4432" w:rsidRDefault="00E51AEC">
      <w:pPr>
        <w:spacing w:line="360" w:lineRule="auto"/>
        <w:ind w:left="0" w:firstLine="0"/>
        <w:jc w:val="left"/>
      </w:pPr>
      <w:r>
        <w:rPr>
          <w:rFonts w:ascii="黑体" w:eastAsia="黑体" w:hAnsi="宋体" w:hint="eastAsia"/>
          <w:color w:val="000000"/>
          <w:sz w:val="30"/>
        </w:rPr>
        <w:t>八、政府性基金预算财政拨款支出决算表</w:t>
      </w:r>
    </w:p>
    <w:p w:rsidR="00EA4432" w:rsidRDefault="00E51AEC">
      <w:pPr>
        <w:spacing w:line="360" w:lineRule="auto"/>
        <w:ind w:left="0" w:firstLine="0"/>
        <w:jc w:val="left"/>
      </w:pPr>
      <w:r>
        <w:rPr>
          <w:rFonts w:ascii="黑体" w:eastAsia="黑体" w:hAnsi="宋体" w:hint="eastAsia"/>
          <w:color w:val="000000"/>
          <w:sz w:val="30"/>
        </w:rPr>
        <w:t>九、资产负债情况表</w:t>
      </w:r>
    </w:p>
    <w:p w:rsidR="00EA4432" w:rsidRDefault="00E51AEC">
      <w:pPr>
        <w:spacing w:line="360" w:lineRule="auto"/>
        <w:ind w:left="0" w:firstLine="0"/>
        <w:jc w:val="left"/>
      </w:pPr>
      <w:r>
        <w:rPr>
          <w:rFonts w:ascii="黑体" w:eastAsia="黑体" w:hAnsi="宋体" w:hint="eastAsia"/>
          <w:color w:val="000000"/>
          <w:sz w:val="30"/>
        </w:rPr>
        <w:t>第三部分刘海粟美术馆</w:t>
      </w:r>
      <w:r>
        <w:rPr>
          <w:rFonts w:ascii="黑体" w:eastAsia="黑体" w:hAnsi="宋体"/>
          <w:color w:val="000000"/>
          <w:sz w:val="30"/>
        </w:rPr>
        <w:t xml:space="preserve"> 2018</w:t>
      </w:r>
      <w:r w:rsidR="001D6716">
        <w:rPr>
          <w:rFonts w:ascii="黑体" w:eastAsia="黑体" w:hAnsi="宋体" w:hint="eastAsia"/>
          <w:color w:val="000000"/>
          <w:sz w:val="30"/>
        </w:rPr>
        <w:t>年度</w:t>
      </w:r>
      <w:r>
        <w:rPr>
          <w:rFonts w:ascii="黑体" w:eastAsia="黑体" w:hAnsi="宋体" w:hint="eastAsia"/>
          <w:color w:val="000000"/>
          <w:sz w:val="30"/>
        </w:rPr>
        <w:t>决算情况说明</w:t>
      </w:r>
    </w:p>
    <w:p w:rsidR="00EA4432" w:rsidRDefault="00E51AEC">
      <w:pPr>
        <w:spacing w:line="360" w:lineRule="auto"/>
        <w:ind w:left="0" w:firstLine="0"/>
        <w:jc w:val="left"/>
      </w:pPr>
      <w:r>
        <w:rPr>
          <w:rFonts w:ascii="黑体" w:eastAsia="黑体" w:hAnsi="宋体" w:hint="eastAsia"/>
          <w:color w:val="000000"/>
          <w:sz w:val="30"/>
        </w:rPr>
        <w:t>第四部分名词解释</w:t>
      </w:r>
    </w:p>
    <w:p w:rsidR="00EA4432" w:rsidRDefault="00EA4432">
      <w:pPr>
        <w:ind w:left="0" w:firstLine="0"/>
        <w:jc w:val="left"/>
      </w:pPr>
    </w:p>
    <w:p w:rsidR="00EA4432" w:rsidRDefault="00E51AEC">
      <w:r>
        <w:br w:type="page"/>
      </w:r>
    </w:p>
    <w:p w:rsidR="00EA4432" w:rsidRDefault="00EA4432">
      <w:pPr>
        <w:ind w:left="0" w:firstLine="0"/>
        <w:jc w:val="left"/>
      </w:pPr>
    </w:p>
    <w:p w:rsidR="00EA4432" w:rsidRDefault="00EA4432">
      <w:pPr>
        <w:ind w:left="0" w:firstLine="0"/>
        <w:jc w:val="left"/>
      </w:pPr>
    </w:p>
    <w:p w:rsidR="00EA4432" w:rsidRDefault="00EA4432">
      <w:pPr>
        <w:ind w:left="0" w:firstLine="0"/>
        <w:jc w:val="center"/>
      </w:pPr>
    </w:p>
    <w:p w:rsidR="00EA4432" w:rsidRDefault="00E51AEC">
      <w:pPr>
        <w:ind w:left="0" w:firstLine="0"/>
        <w:jc w:val="center"/>
      </w:pPr>
      <w:r>
        <w:rPr>
          <w:rFonts w:ascii="黑体" w:eastAsia="黑体" w:hAnsi="宋体" w:hint="eastAsia"/>
          <w:color w:val="000000"/>
          <w:sz w:val="30"/>
        </w:rPr>
        <w:t>第一部分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刘海粟美术馆概况</w:t>
      </w:r>
    </w:p>
    <w:p w:rsidR="00EA4432" w:rsidRDefault="00EA4432">
      <w:pPr>
        <w:ind w:left="0" w:firstLine="0"/>
        <w:jc w:val="center"/>
      </w:pPr>
    </w:p>
    <w:p w:rsidR="00EA4432" w:rsidRDefault="00E51AEC">
      <w:pPr>
        <w:ind w:left="0" w:firstLineChars="200" w:firstLine="602"/>
        <w:jc w:val="left"/>
        <w:rPr>
          <w:rFonts w:ascii="楷体" w:eastAsia="楷体" w:hAnsi="楷体"/>
        </w:rPr>
      </w:pPr>
      <w:r>
        <w:rPr>
          <w:rFonts w:ascii="楷体" w:eastAsia="楷体" w:hAnsi="楷体" w:hint="eastAsia"/>
          <w:b/>
          <w:color w:val="000000"/>
          <w:sz w:val="30"/>
        </w:rPr>
        <w:t>一、主要职能</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刘海粟美术馆隶属于</w:t>
      </w:r>
      <w:r>
        <w:rPr>
          <w:rFonts w:ascii="仿宋" w:eastAsia="仿宋" w:hAnsi="仿宋"/>
          <w:color w:val="000000"/>
          <w:sz w:val="30"/>
        </w:rPr>
        <w:t>(</w:t>
      </w:r>
      <w:r>
        <w:rPr>
          <w:rFonts w:ascii="仿宋" w:eastAsia="仿宋" w:hAnsi="仿宋" w:hint="eastAsia"/>
          <w:color w:val="000000"/>
          <w:sz w:val="30"/>
        </w:rPr>
        <w:t>原</w:t>
      </w:r>
      <w:r>
        <w:rPr>
          <w:rFonts w:ascii="仿宋" w:eastAsia="仿宋" w:hAnsi="仿宋"/>
          <w:color w:val="000000"/>
          <w:sz w:val="30"/>
        </w:rPr>
        <w:t>)</w:t>
      </w:r>
      <w:r>
        <w:rPr>
          <w:rFonts w:ascii="仿宋" w:eastAsia="仿宋" w:hAnsi="仿宋" w:hint="eastAsia"/>
          <w:color w:val="000000"/>
          <w:sz w:val="30"/>
        </w:rPr>
        <w:t>上海市文化广播影视管理局，行政级别为正处级。我馆坐落于上海市长宁区延安西路</w:t>
      </w:r>
      <w:r>
        <w:rPr>
          <w:rFonts w:ascii="仿宋" w:eastAsia="仿宋" w:hAnsi="仿宋"/>
          <w:color w:val="000000"/>
          <w:sz w:val="30"/>
        </w:rPr>
        <w:t>1609</w:t>
      </w:r>
      <w:r>
        <w:rPr>
          <w:rFonts w:ascii="仿宋" w:eastAsia="仿宋" w:hAnsi="仿宋" w:hint="eastAsia"/>
          <w:color w:val="000000"/>
          <w:sz w:val="30"/>
        </w:rPr>
        <w:t>号，建筑面积</w:t>
      </w:r>
      <w:r>
        <w:rPr>
          <w:rFonts w:ascii="仿宋" w:eastAsia="仿宋" w:hAnsi="仿宋"/>
          <w:color w:val="000000"/>
          <w:sz w:val="30"/>
        </w:rPr>
        <w:t>12,651.92</w:t>
      </w:r>
      <w:r>
        <w:rPr>
          <w:rFonts w:ascii="仿宋" w:eastAsia="仿宋" w:hAnsi="仿宋" w:hint="eastAsia"/>
          <w:color w:val="000000"/>
          <w:sz w:val="30"/>
        </w:rPr>
        <w:t>平方米。人员编制</w:t>
      </w:r>
      <w:r>
        <w:rPr>
          <w:rFonts w:ascii="仿宋" w:eastAsia="仿宋" w:hAnsi="仿宋"/>
          <w:color w:val="000000"/>
          <w:sz w:val="30"/>
        </w:rPr>
        <w:t>40</w:t>
      </w:r>
      <w:r>
        <w:rPr>
          <w:rFonts w:ascii="仿宋" w:eastAsia="仿宋" w:hAnsi="仿宋" w:hint="eastAsia"/>
          <w:color w:val="000000"/>
          <w:sz w:val="30"/>
        </w:rPr>
        <w:t>人，实有人数</w:t>
      </w:r>
      <w:r>
        <w:rPr>
          <w:rFonts w:ascii="仿宋" w:eastAsia="仿宋" w:hAnsi="仿宋"/>
          <w:color w:val="000000"/>
          <w:sz w:val="30"/>
        </w:rPr>
        <w:t>33</w:t>
      </w:r>
      <w:r>
        <w:rPr>
          <w:rFonts w:ascii="仿宋" w:eastAsia="仿宋" w:hAnsi="仿宋" w:hint="eastAsia"/>
          <w:color w:val="000000"/>
          <w:sz w:val="30"/>
        </w:rPr>
        <w:t>人。主要职能包括：收藏保管；学术研究；展览陈列；教育推广；文化交流。</w:t>
      </w:r>
    </w:p>
    <w:p w:rsidR="00EA4432" w:rsidRDefault="00E51AEC">
      <w:pPr>
        <w:ind w:left="0" w:firstLineChars="200" w:firstLine="602"/>
        <w:jc w:val="left"/>
        <w:rPr>
          <w:rFonts w:ascii="楷体" w:eastAsia="楷体" w:hAnsi="楷体"/>
        </w:rPr>
      </w:pPr>
      <w:r>
        <w:rPr>
          <w:rFonts w:ascii="楷体" w:eastAsia="楷体" w:hAnsi="楷体" w:hint="eastAsia"/>
          <w:b/>
          <w:color w:val="000000"/>
          <w:sz w:val="30"/>
        </w:rPr>
        <w:t>二、机构设置</w:t>
      </w:r>
    </w:p>
    <w:p w:rsidR="00EA4432" w:rsidRDefault="00E51AEC">
      <w:pPr>
        <w:ind w:left="0" w:firstLineChars="200" w:firstLine="600"/>
        <w:jc w:val="left"/>
        <w:rPr>
          <w:rFonts w:ascii="仿宋" w:eastAsia="仿宋" w:hAnsi="仿宋"/>
          <w:color w:val="000000"/>
          <w:sz w:val="30"/>
        </w:rPr>
      </w:pPr>
      <w:r>
        <w:rPr>
          <w:rFonts w:ascii="仿宋" w:eastAsia="仿宋" w:hAnsi="仿宋" w:hint="eastAsia"/>
          <w:color w:val="000000"/>
          <w:sz w:val="30"/>
        </w:rPr>
        <w:t>根据上述职责，刘海粟美术馆设</w:t>
      </w:r>
      <w:r>
        <w:rPr>
          <w:rFonts w:ascii="仿宋" w:eastAsia="仿宋" w:hAnsi="仿宋"/>
          <w:color w:val="000000"/>
          <w:sz w:val="30"/>
        </w:rPr>
        <w:t>7</w:t>
      </w:r>
      <w:r>
        <w:rPr>
          <w:rFonts w:ascii="仿宋" w:eastAsia="仿宋" w:hAnsi="仿宋" w:hint="eastAsia"/>
          <w:color w:val="000000"/>
          <w:sz w:val="30"/>
        </w:rPr>
        <w:t>个内设机构，包括：党政办公室、展览策划部、典藏研究部、公共教育部、媒体推广部、保障服务部、合作发展部。</w:t>
      </w:r>
    </w:p>
    <w:p w:rsidR="00EA4432" w:rsidRDefault="00EA4432">
      <w:pPr>
        <w:ind w:left="0" w:firstLine="0"/>
        <w:jc w:val="left"/>
      </w:pPr>
    </w:p>
    <w:p w:rsidR="00EA4432" w:rsidRDefault="00EA4432">
      <w:pPr>
        <w:ind w:left="0" w:firstLine="0"/>
        <w:jc w:val="left"/>
      </w:pPr>
    </w:p>
    <w:p w:rsidR="00EA4432" w:rsidRDefault="00E51AEC">
      <w:r>
        <w:br w:type="page"/>
      </w:r>
    </w:p>
    <w:p w:rsidR="00EA4432" w:rsidRDefault="00E51AEC">
      <w:pPr>
        <w:ind w:left="0" w:firstLine="0"/>
        <w:jc w:val="center"/>
        <w:rPr>
          <w:rFonts w:ascii="黑体" w:eastAsia="黑体" w:hAnsi="宋体"/>
          <w:color w:val="000000"/>
          <w:sz w:val="30"/>
        </w:rPr>
      </w:pPr>
      <w:r>
        <w:rPr>
          <w:rFonts w:ascii="黑体" w:eastAsia="黑体" w:hAnsi="宋体" w:hint="eastAsia"/>
          <w:color w:val="000000"/>
          <w:sz w:val="30"/>
        </w:rPr>
        <w:t>第二部分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刘海粟美术馆</w:t>
      </w:r>
      <w:r>
        <w:rPr>
          <w:rFonts w:ascii="黑体" w:eastAsia="黑体" w:hAnsi="宋体"/>
          <w:color w:val="000000"/>
          <w:sz w:val="30"/>
        </w:rPr>
        <w:t>2018</w:t>
      </w:r>
      <w:r>
        <w:rPr>
          <w:rFonts w:ascii="黑体" w:eastAsia="黑体" w:hAnsi="宋体" w:hint="eastAsia"/>
          <w:color w:val="000000"/>
          <w:sz w:val="30"/>
        </w:rPr>
        <w:t>年度部门决算表</w:t>
      </w:r>
    </w:p>
    <w:p w:rsidR="00EA4432" w:rsidRDefault="00EA4432">
      <w:pPr>
        <w:ind w:left="0" w:firstLine="0"/>
        <w:jc w:val="center"/>
        <w:rPr>
          <w:rFonts w:ascii="宋体"/>
          <w:szCs w:val="21"/>
        </w:rPr>
      </w:pPr>
    </w:p>
    <w:p w:rsidR="00EA4432" w:rsidRDefault="00E51AEC">
      <w:pPr>
        <w:ind w:left="0" w:firstLine="0"/>
        <w:jc w:val="center"/>
        <w:rPr>
          <w:rFonts w:ascii="宋体"/>
          <w:szCs w:val="21"/>
        </w:rPr>
      </w:pPr>
      <w:r>
        <w:rPr>
          <w:rFonts w:ascii="宋体" w:hAnsi="宋体"/>
          <w:color w:val="000000"/>
          <w:szCs w:val="21"/>
        </w:rPr>
        <w:t xml:space="preserve"> 2018</w:t>
      </w:r>
      <w:r>
        <w:rPr>
          <w:rFonts w:ascii="宋体" w:hAnsi="宋体" w:hint="eastAsia"/>
          <w:color w:val="000000"/>
          <w:szCs w:val="21"/>
        </w:rPr>
        <w:t>年度收入支出决算总表</w:t>
      </w:r>
      <w:r>
        <w:rPr>
          <w:rFonts w:ascii="宋体" w:hAnsi="宋体"/>
          <w:color w:val="000000"/>
          <w:szCs w:val="21"/>
        </w:rPr>
        <w:t xml:space="preserve">   </w:t>
      </w:r>
    </w:p>
    <w:p w:rsidR="00EA4432" w:rsidRDefault="00E51AEC">
      <w:pPr>
        <w:ind w:left="0" w:firstLine="0"/>
        <w:jc w:val="right"/>
        <w:rPr>
          <w:rFonts w:ascii="宋体"/>
          <w:szCs w:val="21"/>
        </w:rPr>
      </w:pPr>
      <w:r>
        <w:rPr>
          <w:rFonts w:ascii="宋体" w:hAnsi="宋体" w:hint="eastAsia"/>
          <w:color w:val="000000"/>
          <w:szCs w:val="21"/>
        </w:rPr>
        <w:t>单位</w:t>
      </w:r>
      <w:r>
        <w:rPr>
          <w:rFonts w:ascii="宋体" w:hAnsi="宋体"/>
          <w:color w:val="000000"/>
          <w:szCs w:val="21"/>
        </w:rPr>
        <w:t>:</w:t>
      </w:r>
      <w:r>
        <w:rPr>
          <w:rFonts w:ascii="宋体" w:hAnsi="宋体" w:hint="eastAsia"/>
          <w:color w:val="000000"/>
          <w:szCs w:val="21"/>
        </w:rPr>
        <w:t>万元</w:t>
      </w:r>
    </w:p>
    <w:tbl>
      <w:tblPr>
        <w:tblW w:w="8448" w:type="dxa"/>
        <w:jc w:val="center"/>
        <w:tblLayout w:type="fixed"/>
        <w:tblLook w:val="04A0" w:firstRow="1" w:lastRow="0" w:firstColumn="1" w:lastColumn="0" w:noHBand="0" w:noVBand="1"/>
      </w:tblPr>
      <w:tblGrid>
        <w:gridCol w:w="2851"/>
        <w:gridCol w:w="1359"/>
        <w:gridCol w:w="2835"/>
        <w:gridCol w:w="1403"/>
      </w:tblGrid>
      <w:tr w:rsidR="00EA4432">
        <w:trPr>
          <w:trHeight w:val="272"/>
          <w:jc w:val="center"/>
        </w:trPr>
        <w:tc>
          <w:tcPr>
            <w:tcW w:w="421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收入</w:t>
            </w:r>
          </w:p>
        </w:tc>
        <w:tc>
          <w:tcPr>
            <w:tcW w:w="4238"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支出</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一、财政拨款收入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4,557.15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一、一般公共服务支出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其中：政府性基金预算财政拨款</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二、外交支出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二、上级补助收入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三、国防支出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三、事业收入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305.46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四、公共安全支出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四、经营收入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五、教育支出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五、附属单位上缴收入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六、科学技术支出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六、其他收入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5.59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七、文化体育与传媒支出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4,702.58</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八、社会保障和就业支出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九、医疗卫生与计划生育支出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十、节能环保支出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十一、城乡社区支出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十二、农林水支出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十三、交通运输支出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十四、资源勘探信息等支出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十五、商业服务业等支出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十六、金融支出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十七、援助其他地区支出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十八、国土海洋气象等支出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十九、住房保障支出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二十、粮油物资储备支出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二十一、其他支出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本年收入合计</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4,868.20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本年支出合计</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4,894.95</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用事业基金弥补收支差额</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结余分配</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20.80</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年初结转和结余</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361.99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年末结转和结余</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314.44</w:t>
            </w:r>
          </w:p>
        </w:tc>
      </w:tr>
      <w:tr w:rsidR="00EA4432">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总计</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5,230.19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总计</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5,230.19</w:t>
            </w:r>
          </w:p>
        </w:tc>
      </w:tr>
    </w:tbl>
    <w:p w:rsidR="00EA4432" w:rsidRDefault="00EA4432">
      <w:pPr>
        <w:ind w:left="0" w:firstLine="0"/>
        <w:jc w:val="left"/>
        <w:rPr>
          <w:rFonts w:ascii="宋体"/>
          <w:szCs w:val="21"/>
        </w:rPr>
      </w:pPr>
    </w:p>
    <w:p w:rsidR="00EA4432" w:rsidRDefault="00EA4432">
      <w:pPr>
        <w:ind w:left="0" w:firstLine="0"/>
        <w:jc w:val="center"/>
        <w:rPr>
          <w:rFonts w:ascii="宋体"/>
          <w:color w:val="000000"/>
          <w:szCs w:val="21"/>
        </w:rPr>
      </w:pPr>
    </w:p>
    <w:p w:rsidR="00EA4432" w:rsidRDefault="00EA4432">
      <w:pPr>
        <w:ind w:left="0" w:firstLine="0"/>
        <w:jc w:val="center"/>
        <w:rPr>
          <w:rFonts w:ascii="宋体"/>
          <w:color w:val="000000"/>
        </w:rPr>
      </w:pPr>
    </w:p>
    <w:p w:rsidR="00EA4432" w:rsidRDefault="00EA4432">
      <w:pPr>
        <w:ind w:left="0" w:firstLine="0"/>
        <w:jc w:val="center"/>
        <w:rPr>
          <w:rFonts w:ascii="宋体"/>
          <w:color w:val="000000"/>
        </w:rPr>
      </w:pPr>
    </w:p>
    <w:p w:rsidR="00EA4432" w:rsidRDefault="00EA4432">
      <w:pPr>
        <w:ind w:left="0" w:firstLine="0"/>
        <w:jc w:val="center"/>
        <w:rPr>
          <w:rFonts w:ascii="宋体"/>
          <w:color w:val="000000"/>
        </w:rPr>
      </w:pPr>
    </w:p>
    <w:p w:rsidR="00EA4432" w:rsidRDefault="00EA4432">
      <w:pPr>
        <w:ind w:left="0" w:firstLine="0"/>
        <w:jc w:val="center"/>
        <w:rPr>
          <w:rFonts w:ascii="宋体"/>
          <w:color w:val="000000"/>
        </w:rPr>
      </w:pPr>
    </w:p>
    <w:p w:rsidR="00EA4432" w:rsidRDefault="00EA4432">
      <w:pPr>
        <w:ind w:left="0" w:firstLine="0"/>
        <w:jc w:val="center"/>
        <w:rPr>
          <w:rFonts w:ascii="宋体"/>
          <w:color w:val="000000"/>
        </w:rPr>
      </w:pPr>
    </w:p>
    <w:p w:rsidR="00EA4432" w:rsidRDefault="00EA4432">
      <w:pPr>
        <w:ind w:left="0" w:firstLine="0"/>
        <w:jc w:val="center"/>
        <w:rPr>
          <w:rFonts w:ascii="宋体"/>
          <w:color w:val="000000"/>
        </w:rPr>
      </w:pPr>
    </w:p>
    <w:p w:rsidR="00EA4432" w:rsidRDefault="00E51AEC">
      <w:pPr>
        <w:ind w:left="0" w:firstLine="0"/>
        <w:jc w:val="center"/>
        <w:rPr>
          <w:rFonts w:ascii="宋体"/>
          <w:szCs w:val="21"/>
        </w:rPr>
      </w:pPr>
      <w:r>
        <w:rPr>
          <w:rFonts w:ascii="宋体" w:hAnsi="宋体"/>
          <w:color w:val="000000"/>
          <w:szCs w:val="21"/>
        </w:rPr>
        <w:t xml:space="preserve"> 2018</w:t>
      </w:r>
      <w:r>
        <w:rPr>
          <w:rFonts w:ascii="宋体" w:hAnsi="宋体" w:hint="eastAsia"/>
          <w:color w:val="000000"/>
          <w:szCs w:val="21"/>
        </w:rPr>
        <w:t>年度收入决算表</w:t>
      </w:r>
    </w:p>
    <w:p w:rsidR="00EA4432" w:rsidRDefault="00E51AEC">
      <w:pPr>
        <w:ind w:left="0" w:firstLine="0"/>
        <w:jc w:val="right"/>
        <w:rPr>
          <w:rFonts w:ascii="宋体"/>
          <w:szCs w:val="21"/>
        </w:rPr>
      </w:pPr>
      <w:r>
        <w:rPr>
          <w:rFonts w:ascii="宋体" w:hAnsi="宋体" w:hint="eastAsia"/>
          <w:color w:val="000000"/>
          <w:szCs w:val="21"/>
        </w:rPr>
        <w:lastRenderedPageBreak/>
        <w:t>单位：万元</w:t>
      </w:r>
    </w:p>
    <w:p w:rsidR="00EA4432" w:rsidRDefault="00EA4432">
      <w:pPr>
        <w:ind w:left="0" w:firstLine="0"/>
        <w:jc w:val="center"/>
        <w:rPr>
          <w:rFonts w:ascii="宋体"/>
          <w:szCs w:val="21"/>
        </w:rPr>
      </w:pPr>
    </w:p>
    <w:tbl>
      <w:tblPr>
        <w:tblW w:w="9000" w:type="dxa"/>
        <w:tblInd w:w="-252" w:type="dxa"/>
        <w:tblLayout w:type="fixed"/>
        <w:tblLook w:val="04A0" w:firstRow="1" w:lastRow="0" w:firstColumn="1" w:lastColumn="0" w:noHBand="0" w:noVBand="1"/>
      </w:tblPr>
      <w:tblGrid>
        <w:gridCol w:w="540"/>
        <w:gridCol w:w="540"/>
        <w:gridCol w:w="540"/>
        <w:gridCol w:w="540"/>
        <w:gridCol w:w="1440"/>
        <w:gridCol w:w="1080"/>
        <w:gridCol w:w="1080"/>
        <w:gridCol w:w="540"/>
        <w:gridCol w:w="900"/>
        <w:gridCol w:w="540"/>
        <w:gridCol w:w="540"/>
        <w:gridCol w:w="720"/>
      </w:tblGrid>
      <w:tr w:rsidR="00EA4432">
        <w:trPr>
          <w:trHeight w:hRule="exact" w:val="1983"/>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306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本年收入合计</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财政拨款收入</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上级补助收入</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事业收入</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经营收入</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附属单位上缴收入</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其他收入</w:t>
            </w:r>
          </w:p>
        </w:tc>
      </w:tr>
      <w:tr w:rsidR="00EA4432">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功能分类科目编码</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科目名称</w:t>
            </w: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trHeight w:hRule="exact" w:val="535"/>
        </w:trPr>
        <w:tc>
          <w:tcPr>
            <w:tcW w:w="540"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EA4432" w:rsidRDefault="00E51AEC">
            <w:pPr>
              <w:ind w:left="0" w:firstLine="0"/>
              <w:jc w:val="center"/>
              <w:rPr>
                <w:rFonts w:ascii="宋体"/>
                <w:szCs w:val="21"/>
              </w:rPr>
            </w:pPr>
            <w:r>
              <w:rPr>
                <w:rFonts w:ascii="宋体" w:hAnsi="宋体" w:hint="eastAsia"/>
                <w:color w:val="000000"/>
                <w:szCs w:val="21"/>
              </w:rPr>
              <w:t>行号</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类</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款</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合</w:t>
            </w:r>
            <w:r>
              <w:rPr>
                <w:rFonts w:ascii="宋体"/>
                <w:color w:val="000000"/>
                <w:szCs w:val="21"/>
              </w:rPr>
              <w:t>  </w:t>
            </w:r>
            <w:r>
              <w:rPr>
                <w:rFonts w:ascii="宋体" w:hAnsi="宋体" w:hint="eastAsia"/>
                <w:color w:val="000000"/>
                <w:szCs w:val="21"/>
              </w:rPr>
              <w:t>计</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4,868.20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4,557.15</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305.46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5.59</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文化体育与传媒支出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4,675.83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4,364.78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305.46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5.59</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3,128.17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2,817.12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305.46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5.59</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文化展示及纪念机构</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3,128.17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2,817.12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305.46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5.59</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5</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其他文化体育与传媒支出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1,547.66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1,547.66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其他文化体育与传媒支出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1,547.66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1,547.66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社会保障和就业支出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行政事业单位离退休</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9</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机关事业单位基本养老保险缴费支出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85.92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85.92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06</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机关事业单位职业年金缴费支出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34.37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34.37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其他行政事业单位离退休支出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医疗卫生与计划生育支出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13</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11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行政事业单位医疗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11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事业单位医疗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15</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住房保障支出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住房改革支出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住房公积金</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bl>
    <w:p w:rsidR="00EA4432" w:rsidRDefault="00EA4432">
      <w:pPr>
        <w:ind w:left="0" w:firstLine="0"/>
        <w:jc w:val="left"/>
        <w:rPr>
          <w:rFonts w:ascii="宋体"/>
          <w:szCs w:val="21"/>
        </w:rPr>
      </w:pPr>
    </w:p>
    <w:p w:rsidR="001D6716" w:rsidRDefault="001D6716">
      <w:pPr>
        <w:ind w:left="0" w:firstLine="0"/>
        <w:jc w:val="center"/>
        <w:rPr>
          <w:rFonts w:ascii="宋体" w:hAnsi="宋体"/>
          <w:color w:val="000000"/>
          <w:szCs w:val="21"/>
        </w:rPr>
      </w:pPr>
    </w:p>
    <w:p w:rsidR="00EA4432" w:rsidRDefault="00E51AEC">
      <w:pPr>
        <w:ind w:left="0" w:firstLine="0"/>
        <w:jc w:val="center"/>
        <w:rPr>
          <w:rFonts w:ascii="宋体"/>
          <w:szCs w:val="21"/>
        </w:rPr>
      </w:pPr>
      <w:r>
        <w:rPr>
          <w:rFonts w:ascii="宋体" w:hAnsi="宋体"/>
          <w:color w:val="000000"/>
          <w:szCs w:val="21"/>
        </w:rPr>
        <w:lastRenderedPageBreak/>
        <w:t xml:space="preserve"> 2018</w:t>
      </w:r>
      <w:r>
        <w:rPr>
          <w:rFonts w:ascii="宋体" w:hAnsi="宋体" w:hint="eastAsia"/>
          <w:color w:val="000000"/>
          <w:szCs w:val="21"/>
        </w:rPr>
        <w:t>年度支出决算表</w:t>
      </w:r>
    </w:p>
    <w:p w:rsidR="00EA4432" w:rsidRDefault="00E51AEC">
      <w:pPr>
        <w:ind w:left="0" w:firstLine="0"/>
        <w:jc w:val="right"/>
        <w:rPr>
          <w:rFonts w:ascii="宋体"/>
          <w:szCs w:val="21"/>
        </w:rPr>
      </w:pPr>
      <w:r>
        <w:rPr>
          <w:rFonts w:ascii="宋体" w:hAnsi="宋体" w:hint="eastAsia"/>
          <w:color w:val="000000"/>
          <w:szCs w:val="21"/>
        </w:rPr>
        <w:t>单位：万元</w:t>
      </w:r>
    </w:p>
    <w:p w:rsidR="00EA4432" w:rsidRDefault="00EA4432">
      <w:pPr>
        <w:ind w:left="0" w:firstLine="0"/>
        <w:jc w:val="center"/>
        <w:rPr>
          <w:rFonts w:ascii="宋体"/>
          <w:szCs w:val="21"/>
        </w:rPr>
      </w:pPr>
    </w:p>
    <w:tbl>
      <w:tblPr>
        <w:tblW w:w="8820" w:type="dxa"/>
        <w:tblInd w:w="-72" w:type="dxa"/>
        <w:tblLayout w:type="fixed"/>
        <w:tblLook w:val="04A0" w:firstRow="1" w:lastRow="0" w:firstColumn="1" w:lastColumn="0" w:noHBand="0" w:noVBand="1"/>
      </w:tblPr>
      <w:tblGrid>
        <w:gridCol w:w="540"/>
        <w:gridCol w:w="720"/>
        <w:gridCol w:w="508"/>
        <w:gridCol w:w="572"/>
        <w:gridCol w:w="1620"/>
        <w:gridCol w:w="1080"/>
        <w:gridCol w:w="1080"/>
        <w:gridCol w:w="1080"/>
        <w:gridCol w:w="540"/>
        <w:gridCol w:w="540"/>
        <w:gridCol w:w="540"/>
      </w:tblGrid>
      <w:tr w:rsidR="00EA4432">
        <w:trPr>
          <w:trHeight w:hRule="exact" w:val="2189"/>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342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本年支出合计</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基本支出</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项目支出</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上缴上级支出</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经营支出</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对附属单位补助支出</w:t>
            </w:r>
          </w:p>
        </w:tc>
      </w:tr>
      <w:tr w:rsidR="00EA4432">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80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功能分类科目编码</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科目名称</w:t>
            </w: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800"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620" w:type="dxa"/>
            <w:vMerge/>
          </w:tcPr>
          <w:p w:rsidR="00EA4432" w:rsidRDefault="00EA4432">
            <w:pPr>
              <w:ind w:left="0" w:firstLine="0"/>
              <w:jc w:val="left"/>
              <w:rPr>
                <w:rFonts w:ascii="宋体"/>
                <w:szCs w:val="21"/>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trHeight w:hRule="exact" w:val="522"/>
        </w:trPr>
        <w:tc>
          <w:tcPr>
            <w:tcW w:w="540"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EA4432" w:rsidRDefault="00E51AEC">
            <w:pPr>
              <w:ind w:left="0" w:firstLine="0"/>
              <w:jc w:val="center"/>
              <w:rPr>
                <w:rFonts w:ascii="宋体"/>
                <w:szCs w:val="21"/>
              </w:rPr>
            </w:pPr>
            <w:r>
              <w:rPr>
                <w:rFonts w:ascii="宋体" w:hAnsi="宋体" w:hint="eastAsia"/>
                <w:color w:val="000000"/>
                <w:szCs w:val="21"/>
              </w:rPr>
              <w:t>行号</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类</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款</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合</w:t>
            </w:r>
            <w:r>
              <w:rPr>
                <w:rFonts w:ascii="宋体"/>
                <w:color w:val="000000"/>
                <w:szCs w:val="21"/>
              </w:rPr>
              <w:t>  </w:t>
            </w:r>
            <w:r>
              <w:rPr>
                <w:rFonts w:ascii="宋体" w:hAnsi="宋体" w:hint="eastAsia"/>
                <w:color w:val="000000"/>
                <w:szCs w:val="21"/>
              </w:rPr>
              <w:t>计</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4,894.95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1,004.67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3,890.28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文化体育与传媒支出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4,702.58</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A4432" w:rsidRDefault="00E51AEC">
            <w:pPr>
              <w:ind w:left="0" w:firstLine="0"/>
              <w:jc w:val="right"/>
              <w:rPr>
                <w:rFonts w:ascii="宋体"/>
                <w:szCs w:val="21"/>
              </w:rPr>
            </w:pPr>
            <w:r>
              <w:rPr>
                <w:rFonts w:ascii="宋体" w:hAnsi="宋体"/>
                <w:color w:val="000000"/>
                <w:szCs w:val="21"/>
              </w:rPr>
              <w:t xml:space="preserve"> 813.07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3,889.51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3,022.85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A4432" w:rsidRDefault="00E51AEC">
            <w:pPr>
              <w:ind w:left="0" w:firstLine="0"/>
              <w:jc w:val="right"/>
              <w:rPr>
                <w:rFonts w:ascii="宋体"/>
                <w:szCs w:val="21"/>
              </w:rPr>
            </w:pPr>
            <w:r>
              <w:rPr>
                <w:rFonts w:ascii="宋体" w:hAnsi="宋体"/>
                <w:color w:val="000000"/>
                <w:szCs w:val="21"/>
              </w:rPr>
              <w:t xml:space="preserve"> 813.07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2,209.78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4</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文化展示及纪念机构</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3,022.85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A4432" w:rsidRDefault="00E51AEC">
            <w:pPr>
              <w:ind w:left="0" w:firstLine="0"/>
              <w:jc w:val="right"/>
              <w:rPr>
                <w:rFonts w:ascii="宋体"/>
                <w:szCs w:val="21"/>
              </w:rPr>
            </w:pPr>
            <w:r>
              <w:rPr>
                <w:rFonts w:ascii="宋体" w:hAnsi="宋体"/>
                <w:color w:val="000000"/>
                <w:szCs w:val="21"/>
              </w:rPr>
              <w:t xml:space="preserve"> 813.07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2,209.78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其他文化体育与传媒支出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1,679.73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1,679.73</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6</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其他文化体育与传媒支出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1,679.73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1,679.73</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社会保障和就业支出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120.29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行政事业单位离退休</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120.29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9</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机关事业单位基本养老保险缴费支出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85.92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85.92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机关事业单位职业年金缴费支出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34.37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34.37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其他行政事业单位离退休支出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12</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医疗卫生与计划生育支出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13</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11</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行政事业单位医疗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14</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11</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事业单位医疗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住房保障支出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16</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住房改革支出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住房公积金</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bl>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51AEC">
      <w:pPr>
        <w:ind w:left="0" w:firstLine="0"/>
        <w:jc w:val="center"/>
        <w:rPr>
          <w:rFonts w:ascii="宋体"/>
          <w:szCs w:val="21"/>
        </w:rPr>
      </w:pPr>
      <w:r>
        <w:rPr>
          <w:rFonts w:ascii="宋体" w:hAnsi="宋体"/>
          <w:color w:val="000000"/>
          <w:szCs w:val="21"/>
        </w:rPr>
        <w:t xml:space="preserve"> 2018</w:t>
      </w:r>
      <w:r>
        <w:rPr>
          <w:rFonts w:ascii="宋体" w:hAnsi="宋体" w:hint="eastAsia"/>
          <w:color w:val="000000"/>
          <w:szCs w:val="21"/>
        </w:rPr>
        <w:t>年度财政拨款收入支出决算总表</w:t>
      </w:r>
    </w:p>
    <w:p w:rsidR="00EA4432" w:rsidRDefault="00E51AEC">
      <w:pPr>
        <w:ind w:left="0" w:firstLine="0"/>
        <w:jc w:val="right"/>
        <w:rPr>
          <w:rFonts w:ascii="宋体"/>
          <w:szCs w:val="21"/>
        </w:rPr>
      </w:pPr>
      <w:r>
        <w:rPr>
          <w:rFonts w:ascii="宋体" w:hAnsi="宋体" w:hint="eastAsia"/>
          <w:color w:val="000000"/>
          <w:szCs w:val="21"/>
        </w:rPr>
        <w:t>单位：万元</w:t>
      </w:r>
    </w:p>
    <w:tbl>
      <w:tblPr>
        <w:tblW w:w="8448" w:type="dxa"/>
        <w:tblLayout w:type="fixed"/>
        <w:tblLook w:val="04A0" w:firstRow="1" w:lastRow="0" w:firstColumn="1" w:lastColumn="0" w:noHBand="0" w:noVBand="1"/>
      </w:tblPr>
      <w:tblGrid>
        <w:gridCol w:w="2335"/>
        <w:gridCol w:w="1157"/>
        <w:gridCol w:w="1864"/>
        <w:gridCol w:w="1056"/>
        <w:gridCol w:w="1056"/>
        <w:gridCol w:w="980"/>
      </w:tblGrid>
      <w:tr w:rsidR="00EA4432">
        <w:trPr>
          <w:trHeight w:val="272"/>
        </w:trPr>
        <w:tc>
          <w:tcPr>
            <w:tcW w:w="349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收入</w:t>
            </w:r>
          </w:p>
        </w:tc>
        <w:tc>
          <w:tcPr>
            <w:tcW w:w="4956"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支出</w:t>
            </w: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w:t>
            </w: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合计</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一般公共预算财政拨款</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政府性基金预算财政拨款</w:t>
            </w: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一、一般公共预算财政拨款</w:t>
            </w: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4,557.15 </w:t>
            </w: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一、一般公共服务支出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二、政府性基金预算财政拨款</w:t>
            </w: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二、外交支出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三、国防支出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四、公共安全支出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五、教育支出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六、科学技术支出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七、文化体育与传媒支出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4,449.45</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4,449.45</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八、社会保障和就业支出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A4432" w:rsidRDefault="00E51AEC">
            <w:pPr>
              <w:ind w:left="0" w:firstLine="0"/>
              <w:jc w:val="right"/>
              <w:rPr>
                <w:rFonts w:ascii="宋体"/>
                <w:szCs w:val="21"/>
              </w:rPr>
            </w:pPr>
            <w:r>
              <w:rPr>
                <w:rFonts w:ascii="宋体" w:hAnsi="宋体"/>
                <w:color w:val="000000"/>
                <w:szCs w:val="21"/>
              </w:rPr>
              <w:t xml:space="preserve"> 121.06 </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九、医疗卫生与计划生育支出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 </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 </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十、节能环保支出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十一、城乡社区支出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十二、农林水支出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十三、交通运输支出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十四、资源勘探信息等支出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十五、商业服务业等支出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十六、金融支出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十七、援助其他地区支出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十八、国土海洋气象等支出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十九、住房保障支出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 </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 </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二十、粮油物资储备支出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二十一、其他支出</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lastRenderedPageBreak/>
              <w:t>本年收入合计</w:t>
            </w: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4,557.15 </w:t>
            </w: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本年支出合计</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4,641.82</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4,641.82 </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年初财政拨款结转和结余</w:t>
            </w: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187.15 </w:t>
            </w: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年末财政拨款结转和结余</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102.48 </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102.48</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一般公共预算财政拨款</w:t>
            </w: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187.15 </w:t>
            </w: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政府性基金预算财政拨款</w:t>
            </w: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c>
          <w:tcPr>
            <w:tcW w:w="2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总计</w:t>
            </w:r>
          </w:p>
        </w:tc>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4,744.30 </w:t>
            </w:r>
          </w:p>
        </w:tc>
        <w:tc>
          <w:tcPr>
            <w:tcW w:w="18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总计</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4,744.30 </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4,744.30 </w:t>
            </w:r>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bl>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51AEC">
      <w:pPr>
        <w:ind w:left="0" w:firstLine="0"/>
        <w:jc w:val="center"/>
        <w:rPr>
          <w:rFonts w:ascii="宋体"/>
          <w:szCs w:val="21"/>
        </w:rPr>
      </w:pPr>
      <w:r>
        <w:rPr>
          <w:rFonts w:ascii="宋体" w:hAnsi="宋体"/>
          <w:color w:val="000000"/>
          <w:szCs w:val="21"/>
        </w:rPr>
        <w:t xml:space="preserve"> 2018</w:t>
      </w:r>
      <w:r>
        <w:rPr>
          <w:rFonts w:ascii="宋体" w:hAnsi="宋体" w:hint="eastAsia"/>
          <w:color w:val="000000"/>
          <w:szCs w:val="21"/>
        </w:rPr>
        <w:t>年度一般公共预算财政拨款支出决算表</w:t>
      </w:r>
    </w:p>
    <w:p w:rsidR="00EA4432" w:rsidRDefault="00E51AEC">
      <w:pPr>
        <w:ind w:left="0" w:firstLine="0"/>
        <w:jc w:val="right"/>
        <w:rPr>
          <w:rFonts w:ascii="宋体"/>
          <w:szCs w:val="21"/>
        </w:rPr>
      </w:pPr>
      <w:r>
        <w:rPr>
          <w:rFonts w:ascii="宋体" w:hAnsi="宋体" w:hint="eastAsia"/>
          <w:color w:val="000000"/>
          <w:szCs w:val="21"/>
        </w:rPr>
        <w:t>单位：万元</w:t>
      </w:r>
    </w:p>
    <w:p w:rsidR="00EA4432" w:rsidRDefault="00EA4432">
      <w:pPr>
        <w:ind w:left="0" w:firstLine="0"/>
        <w:jc w:val="center"/>
        <w:rPr>
          <w:rFonts w:ascii="宋体"/>
          <w:szCs w:val="21"/>
        </w:rPr>
      </w:pPr>
    </w:p>
    <w:tbl>
      <w:tblPr>
        <w:tblW w:w="8448" w:type="dxa"/>
        <w:tblLayout w:type="fixed"/>
        <w:tblLook w:val="04A0" w:firstRow="1" w:lastRow="0" w:firstColumn="1" w:lastColumn="0" w:noHBand="0" w:noVBand="1"/>
      </w:tblPr>
      <w:tblGrid>
        <w:gridCol w:w="574"/>
        <w:gridCol w:w="531"/>
        <w:gridCol w:w="531"/>
        <w:gridCol w:w="531"/>
        <w:gridCol w:w="1721"/>
        <w:gridCol w:w="1425"/>
        <w:gridCol w:w="1562"/>
        <w:gridCol w:w="1573"/>
      </w:tblGrid>
      <w:tr w:rsidR="00EA4432">
        <w:trPr>
          <w:trHeight w:hRule="exact" w:val="396"/>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331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w:t>
            </w:r>
          </w:p>
        </w:tc>
        <w:tc>
          <w:tcPr>
            <w:tcW w:w="45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一般公共预算财政拨款支出决算数</w:t>
            </w:r>
          </w:p>
        </w:tc>
      </w:tr>
      <w:tr w:rsidR="00EA4432">
        <w:trPr>
          <w:trHeight w:hRule="exact" w:val="1190"/>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593"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功能分类科目编码</w:t>
            </w:r>
          </w:p>
        </w:tc>
        <w:tc>
          <w:tcPr>
            <w:tcW w:w="172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科目名称</w:t>
            </w:r>
          </w:p>
        </w:tc>
        <w:tc>
          <w:tcPr>
            <w:tcW w:w="142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合计</w:t>
            </w:r>
          </w:p>
        </w:tc>
        <w:tc>
          <w:tcPr>
            <w:tcW w:w="1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基本支出</w:t>
            </w:r>
          </w:p>
        </w:tc>
        <w:tc>
          <w:tcPr>
            <w:tcW w:w="157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项目支出</w:t>
            </w:r>
          </w:p>
        </w:tc>
      </w:tr>
      <w:tr w:rsidR="00EA4432">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593"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721" w:type="dxa"/>
            <w:vMerge/>
          </w:tcPr>
          <w:p w:rsidR="00EA4432" w:rsidRDefault="00EA4432">
            <w:pPr>
              <w:ind w:left="0" w:firstLine="0"/>
              <w:jc w:val="left"/>
              <w:rPr>
                <w:rFonts w:ascii="宋体"/>
                <w:szCs w:val="21"/>
              </w:rPr>
            </w:pPr>
          </w:p>
        </w:tc>
        <w:tc>
          <w:tcPr>
            <w:tcW w:w="142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562" w:type="dxa"/>
            <w:vMerge/>
          </w:tcPr>
          <w:p w:rsidR="00EA4432" w:rsidRDefault="00EA4432">
            <w:pPr>
              <w:ind w:left="0" w:firstLine="0"/>
              <w:jc w:val="left"/>
              <w:rPr>
                <w:rFonts w:ascii="宋体"/>
                <w:szCs w:val="21"/>
              </w:rPr>
            </w:pPr>
          </w:p>
        </w:tc>
        <w:tc>
          <w:tcPr>
            <w:tcW w:w="1573" w:type="dxa"/>
            <w:vMerge/>
          </w:tcPr>
          <w:p w:rsidR="00EA4432" w:rsidRDefault="00EA4432">
            <w:pPr>
              <w:ind w:left="0" w:firstLine="0"/>
              <w:jc w:val="left"/>
              <w:rPr>
                <w:rFonts w:ascii="宋体"/>
                <w:szCs w:val="21"/>
              </w:rPr>
            </w:pP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EA4432" w:rsidRDefault="00E51AEC">
            <w:pPr>
              <w:ind w:left="0" w:firstLine="0"/>
              <w:jc w:val="center"/>
              <w:rPr>
                <w:rFonts w:ascii="宋体"/>
                <w:szCs w:val="21"/>
              </w:rPr>
            </w:pPr>
            <w:r>
              <w:rPr>
                <w:rFonts w:ascii="宋体" w:hAnsi="宋体" w:hint="eastAsia"/>
                <w:color w:val="000000"/>
                <w:szCs w:val="21"/>
              </w:rPr>
              <w:t>行号</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类</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款</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合</w:t>
            </w:r>
            <w:r>
              <w:rPr>
                <w:rFonts w:ascii="宋体"/>
                <w:color w:val="000000"/>
                <w:szCs w:val="21"/>
              </w:rPr>
              <w:t>  </w:t>
            </w:r>
            <w:r>
              <w:rPr>
                <w:rFonts w:ascii="宋体" w:hAnsi="宋体" w:hint="eastAsia"/>
                <w:color w:val="000000"/>
                <w:szCs w:val="21"/>
              </w:rPr>
              <w:t>计</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4,641.82</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930.81</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3,711.01</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文化体育与传媒支出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4,449.45</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739.21</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3,710.24</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2,769.72</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739.21</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2,030.51</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4</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文化展示及纪念机构</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2,769.72</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739.21</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2,030.51</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5</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其他文化体育与传媒支出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1,679.73</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1,679.73</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6</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207</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其他文化体育与传媒支出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1,679.73</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1,679.73</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7</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社会保障和就业支出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120.29</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8</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行政事业单位离退休</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121.06</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120.29</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9</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机关事业单位基本养老保险缴费支出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85.92</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85.92</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10</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06</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机关事业单位职业年金缴费支出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34.37</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34.37</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208</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05</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99</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其他行政事业单位离退休支出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0.77</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12</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医疗卫生与计划生育支出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lastRenderedPageBreak/>
              <w:t xml:space="preserve"> 13</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11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行政事业单位医疗</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14</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210</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11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事业单位医疗</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15</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住房保障支出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16</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住房改革支出</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r w:rsidR="00EA4432">
        <w:trPr>
          <w:trHeight w:hRule="exact" w:val="567"/>
        </w:trPr>
        <w:tc>
          <w:tcPr>
            <w:tcW w:w="5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17</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221</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02</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01</w:t>
            </w:r>
          </w:p>
        </w:tc>
        <w:tc>
          <w:tcPr>
            <w:tcW w:w="1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住房公积金</w:t>
            </w:r>
          </w:p>
        </w:tc>
        <w:tc>
          <w:tcPr>
            <w:tcW w:w="1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5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5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r>
    </w:tbl>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51AEC">
      <w:pPr>
        <w:ind w:left="0" w:firstLine="0"/>
        <w:jc w:val="center"/>
        <w:rPr>
          <w:rFonts w:ascii="宋体"/>
          <w:szCs w:val="21"/>
        </w:rPr>
      </w:pPr>
      <w:r>
        <w:rPr>
          <w:rFonts w:ascii="宋体" w:hAnsi="宋体"/>
          <w:color w:val="000000"/>
          <w:szCs w:val="21"/>
        </w:rPr>
        <w:t xml:space="preserve"> 2018</w:t>
      </w:r>
      <w:r>
        <w:rPr>
          <w:rFonts w:ascii="宋体" w:hAnsi="宋体" w:hint="eastAsia"/>
          <w:color w:val="000000"/>
          <w:szCs w:val="21"/>
        </w:rPr>
        <w:t>年度一般公共预算财政拨款基本支出决算表</w:t>
      </w:r>
    </w:p>
    <w:p w:rsidR="00EA4432" w:rsidRDefault="00E51AEC">
      <w:pPr>
        <w:ind w:left="0" w:firstLine="0"/>
        <w:jc w:val="right"/>
        <w:rPr>
          <w:rFonts w:ascii="宋体"/>
          <w:szCs w:val="21"/>
        </w:rPr>
      </w:pPr>
      <w:r>
        <w:rPr>
          <w:rFonts w:ascii="宋体" w:hAnsi="宋体" w:hint="eastAsia"/>
          <w:color w:val="000000"/>
          <w:szCs w:val="21"/>
        </w:rPr>
        <w:t>单位：万元</w:t>
      </w:r>
    </w:p>
    <w:tbl>
      <w:tblPr>
        <w:tblW w:w="8448" w:type="dxa"/>
        <w:jc w:val="center"/>
        <w:tblLayout w:type="fixed"/>
        <w:tblLook w:val="04A0" w:firstRow="1" w:lastRow="0" w:firstColumn="1" w:lastColumn="0" w:noHBand="0" w:noVBand="1"/>
      </w:tblPr>
      <w:tblGrid>
        <w:gridCol w:w="577"/>
        <w:gridCol w:w="456"/>
        <w:gridCol w:w="2275"/>
        <w:gridCol w:w="1980"/>
        <w:gridCol w:w="1620"/>
        <w:gridCol w:w="1540"/>
      </w:tblGrid>
      <w:tr w:rsidR="00EA4432">
        <w:trPr>
          <w:trHeight w:val="272"/>
          <w:jc w:val="center"/>
        </w:trPr>
        <w:tc>
          <w:tcPr>
            <w:tcW w:w="330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项目</w:t>
            </w:r>
          </w:p>
        </w:tc>
        <w:tc>
          <w:tcPr>
            <w:tcW w:w="19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合计</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人员经费</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公用经费</w:t>
            </w:r>
          </w:p>
        </w:tc>
      </w:tr>
      <w:tr w:rsidR="00EA4432">
        <w:trPr>
          <w:trHeight w:val="272"/>
          <w:jc w:val="center"/>
        </w:trPr>
        <w:tc>
          <w:tcPr>
            <w:tcW w:w="103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经济分类科目编码</w:t>
            </w:r>
          </w:p>
        </w:tc>
        <w:tc>
          <w:tcPr>
            <w:tcW w:w="22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科目名称</w:t>
            </w:r>
          </w:p>
        </w:tc>
        <w:tc>
          <w:tcPr>
            <w:tcW w:w="19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6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类</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款</w:t>
            </w:r>
          </w:p>
        </w:tc>
        <w:tc>
          <w:tcPr>
            <w:tcW w:w="2275" w:type="dxa"/>
            <w:vMerge/>
          </w:tcPr>
          <w:p w:rsidR="00EA4432" w:rsidRDefault="00EA4432">
            <w:pPr>
              <w:ind w:left="0" w:firstLine="0"/>
              <w:jc w:val="left"/>
              <w:rPr>
                <w:rFonts w:ascii="宋体"/>
                <w:szCs w:val="21"/>
              </w:rPr>
            </w:pPr>
          </w:p>
        </w:tc>
        <w:tc>
          <w:tcPr>
            <w:tcW w:w="19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6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工资福利支出</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718.57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718.57</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01</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基本工资</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114.75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114.75</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02</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津贴补贴</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16.87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16.87</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03</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奖金</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06</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伙食补助费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07</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绩效工资</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379.17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379.17</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08</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机关事业单位基本养老保险缴费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85.92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85.92</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职业年金缴费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34.37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34.37</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10</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r>
              <w:rPr>
                <w:rFonts w:ascii="宋体" w:hAnsi="宋体" w:hint="eastAsia"/>
                <w:color w:val="000000"/>
                <w:szCs w:val="21"/>
              </w:rPr>
              <w:t>职工基本医疗保险缴费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40.81</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11</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r>
              <w:rPr>
                <w:rFonts w:ascii="宋体" w:hAnsi="宋体" w:hint="eastAsia"/>
                <w:color w:val="000000"/>
                <w:szCs w:val="21"/>
              </w:rPr>
              <w:t>公务员医疗补助缴费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12</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r>
              <w:rPr>
                <w:rFonts w:ascii="宋体" w:hAnsi="宋体" w:hint="eastAsia"/>
                <w:color w:val="000000"/>
                <w:szCs w:val="21"/>
              </w:rPr>
              <w:t>其他社会保障缴费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7.39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7.39</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13</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r>
              <w:rPr>
                <w:rFonts w:ascii="宋体" w:hAnsi="宋体" w:hint="eastAsia"/>
                <w:color w:val="000000"/>
                <w:szCs w:val="21"/>
              </w:rPr>
              <w:t>住房公积金</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30.50</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14</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r>
              <w:rPr>
                <w:rFonts w:ascii="宋体" w:hAnsi="宋体" w:hint="eastAsia"/>
                <w:color w:val="000000"/>
                <w:szCs w:val="21"/>
              </w:rPr>
              <w:t>医疗费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301</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99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其他工资福利支出</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8.79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8.79</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商品和服务支出</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206.27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206.27</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lastRenderedPageBreak/>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01</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办公费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30.05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30.05</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02</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印刷费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4.41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4.41</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03</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咨询费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22.10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22.10</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04</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手续费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0.26</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05</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水费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0.50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0.50</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06</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电费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07</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邮电费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2.00</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08</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取暖费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物业管理费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11</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差旅费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10.00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10.00</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12</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因公出国（境）费用</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9.00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9.00</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13</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维修（护）费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55.26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55.26</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14</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租赁费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1.99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1.99</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15</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会议费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0.17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0.17</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16</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培训费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2.03</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17</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公务接待费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1.51</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18</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专用材料费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2.00</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24</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被装购置费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25</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专用燃料费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26</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劳务费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8.61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8.61</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27</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委托业务费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28</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工会经费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7.50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7.50</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福利费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15.98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15.98</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公务用车运行维护费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5.42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5.42</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其他交通费用</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lastRenderedPageBreak/>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40</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税金及附加费用</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302</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99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其他商品和服务支出</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27.48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27.48</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对个人和家庭的补助</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01</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离休费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02</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退休费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03</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退职（役）费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04</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抚恤金</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05</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生活补助</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07</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医疗费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08</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助学金</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奖励金</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10</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r>
              <w:rPr>
                <w:rFonts w:ascii="宋体" w:hAnsi="宋体" w:hint="eastAsia"/>
                <w:color w:val="000000"/>
                <w:szCs w:val="21"/>
              </w:rPr>
              <w:t>个人农业生产补贴</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303</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99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其他对个人和家庭的补助支出</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310</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color w:val="000000"/>
                <w:szCs w:val="21"/>
              </w:rPr>
              <w:t>资本性支出</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5.97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5.97</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310</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02</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办公设备购置</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0.97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0.97</w:t>
            </w: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310</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03</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专用设备购置</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310</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07</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信息网络及软件购置更新</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310</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13</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公务用车购置</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310</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19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其他交通工具购置</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310</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22</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w:t>
            </w:r>
            <w:r>
              <w:rPr>
                <w:rFonts w:ascii="宋体" w:hAnsi="宋体" w:hint="eastAsia"/>
                <w:color w:val="000000"/>
                <w:szCs w:val="21"/>
              </w:rPr>
              <w:t>无形资产购置</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310</w:t>
            </w:r>
          </w:p>
        </w:tc>
        <w:tc>
          <w:tcPr>
            <w:tcW w:w="4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color w:val="000000"/>
                <w:szCs w:val="21"/>
              </w:rPr>
              <w:t xml:space="preserve"> 99</w:t>
            </w:r>
          </w:p>
        </w:tc>
        <w:tc>
          <w:tcPr>
            <w:tcW w:w="2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其他资本性支出</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5.00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5.00</w:t>
            </w:r>
          </w:p>
        </w:tc>
      </w:tr>
      <w:tr w:rsidR="00EA4432">
        <w:trPr>
          <w:jc w:val="center"/>
        </w:trPr>
        <w:tc>
          <w:tcPr>
            <w:tcW w:w="330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合计</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930.81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718.57</w:t>
            </w:r>
          </w:p>
        </w:tc>
        <w:tc>
          <w:tcPr>
            <w:tcW w:w="1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212.24</w:t>
            </w:r>
          </w:p>
        </w:tc>
      </w:tr>
    </w:tbl>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51AEC">
      <w:pPr>
        <w:ind w:left="0" w:firstLine="0"/>
        <w:jc w:val="center"/>
        <w:rPr>
          <w:rFonts w:ascii="宋体"/>
          <w:szCs w:val="21"/>
        </w:rPr>
      </w:pPr>
      <w:r>
        <w:rPr>
          <w:rFonts w:ascii="宋体" w:hAnsi="宋体"/>
          <w:color w:val="000000"/>
          <w:szCs w:val="21"/>
        </w:rPr>
        <w:t xml:space="preserve"> 2018</w:t>
      </w:r>
      <w:r>
        <w:rPr>
          <w:rFonts w:ascii="宋体" w:hAnsi="宋体" w:hint="eastAsia"/>
          <w:color w:val="000000"/>
          <w:szCs w:val="21"/>
        </w:rPr>
        <w:t>年度一般公共预算财政拨款“三公”经费及机关运行经费支出决算表</w:t>
      </w:r>
    </w:p>
    <w:p w:rsidR="00EA4432" w:rsidRDefault="00E51AEC">
      <w:pPr>
        <w:ind w:left="0" w:firstLine="0"/>
        <w:jc w:val="right"/>
        <w:rPr>
          <w:rFonts w:ascii="宋体"/>
          <w:szCs w:val="21"/>
        </w:rPr>
      </w:pPr>
      <w:r>
        <w:rPr>
          <w:rFonts w:ascii="宋体" w:hAnsi="宋体" w:hint="eastAsia"/>
          <w:color w:val="000000"/>
          <w:szCs w:val="21"/>
        </w:rPr>
        <w:t>单位：万元</w:t>
      </w:r>
    </w:p>
    <w:tbl>
      <w:tblPr>
        <w:tblW w:w="8448" w:type="dxa"/>
        <w:jc w:val="center"/>
        <w:tblLayout w:type="fixed"/>
        <w:tblLook w:val="04A0" w:firstRow="1" w:lastRow="0" w:firstColumn="1" w:lastColumn="0" w:noHBand="0" w:noVBand="1"/>
      </w:tblPr>
      <w:tblGrid>
        <w:gridCol w:w="741"/>
        <w:gridCol w:w="741"/>
        <w:gridCol w:w="636"/>
        <w:gridCol w:w="637"/>
        <w:gridCol w:w="636"/>
        <w:gridCol w:w="637"/>
        <w:gridCol w:w="567"/>
        <w:gridCol w:w="575"/>
        <w:gridCol w:w="636"/>
        <w:gridCol w:w="649"/>
        <w:gridCol w:w="636"/>
        <w:gridCol w:w="650"/>
        <w:gridCol w:w="707"/>
      </w:tblGrid>
      <w:tr w:rsidR="00EA4432">
        <w:trPr>
          <w:trHeight w:val="272"/>
          <w:jc w:val="center"/>
        </w:trPr>
        <w:tc>
          <w:tcPr>
            <w:tcW w:w="7741" w:type="dxa"/>
            <w:gridSpan w:val="1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一般公共预算财政拨款“三公”经费</w:t>
            </w:r>
          </w:p>
        </w:tc>
        <w:tc>
          <w:tcPr>
            <w:tcW w:w="7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机关运行经费决算数</w:t>
            </w:r>
          </w:p>
        </w:tc>
      </w:tr>
      <w:tr w:rsidR="00EA4432">
        <w:trPr>
          <w:trHeight w:val="272"/>
          <w:jc w:val="center"/>
        </w:trPr>
        <w:tc>
          <w:tcPr>
            <w:tcW w:w="148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合计</w:t>
            </w:r>
          </w:p>
        </w:tc>
        <w:tc>
          <w:tcPr>
            <w:tcW w:w="127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因公出国</w:t>
            </w:r>
            <w:r>
              <w:rPr>
                <w:rFonts w:ascii="宋体" w:hAnsi="宋体"/>
                <w:color w:val="000000"/>
                <w:szCs w:val="21"/>
              </w:rPr>
              <w:t>(</w:t>
            </w:r>
            <w:r>
              <w:rPr>
                <w:rFonts w:ascii="宋体" w:hAnsi="宋体" w:hint="eastAsia"/>
                <w:color w:val="000000"/>
                <w:szCs w:val="21"/>
              </w:rPr>
              <w:t>境</w:t>
            </w:r>
            <w:r>
              <w:rPr>
                <w:rFonts w:ascii="宋体" w:hAnsi="宋体"/>
                <w:color w:val="000000"/>
                <w:szCs w:val="21"/>
              </w:rPr>
              <w:t>)</w:t>
            </w:r>
            <w:r>
              <w:rPr>
                <w:rFonts w:ascii="宋体" w:hAnsi="宋体" w:hint="eastAsia"/>
                <w:color w:val="000000"/>
                <w:szCs w:val="21"/>
              </w:rPr>
              <w:t>费</w:t>
            </w:r>
          </w:p>
        </w:tc>
        <w:tc>
          <w:tcPr>
            <w:tcW w:w="3700" w:type="dxa"/>
            <w:gridSpan w:val="6"/>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公务用车购置及运行费</w:t>
            </w:r>
          </w:p>
        </w:tc>
        <w:tc>
          <w:tcPr>
            <w:tcW w:w="1286"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公务接待费</w:t>
            </w:r>
          </w:p>
        </w:tc>
        <w:tc>
          <w:tcPr>
            <w:tcW w:w="70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trHeight w:val="272"/>
          <w:jc w:val="center"/>
        </w:trPr>
        <w:tc>
          <w:tcPr>
            <w:tcW w:w="1482"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273" w:type="dxa"/>
            <w:gridSpan w:val="2"/>
            <w:vMerge/>
          </w:tcPr>
          <w:p w:rsidR="00EA4432" w:rsidRDefault="00EA4432">
            <w:pPr>
              <w:ind w:left="0" w:firstLine="0"/>
              <w:jc w:val="left"/>
              <w:rPr>
                <w:rFonts w:ascii="宋体"/>
                <w:szCs w:val="21"/>
              </w:rPr>
            </w:pPr>
          </w:p>
        </w:tc>
        <w:tc>
          <w:tcPr>
            <w:tcW w:w="127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小计</w:t>
            </w:r>
          </w:p>
        </w:tc>
        <w:tc>
          <w:tcPr>
            <w:tcW w:w="114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公务用车购置费</w:t>
            </w:r>
          </w:p>
        </w:tc>
        <w:tc>
          <w:tcPr>
            <w:tcW w:w="128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公务用车运行费</w:t>
            </w:r>
          </w:p>
        </w:tc>
        <w:tc>
          <w:tcPr>
            <w:tcW w:w="1286" w:type="dxa"/>
            <w:gridSpan w:val="2"/>
            <w:vMerge/>
          </w:tcPr>
          <w:p w:rsidR="00EA4432" w:rsidRDefault="00EA4432">
            <w:pPr>
              <w:ind w:left="0" w:firstLine="0"/>
              <w:jc w:val="left"/>
              <w:rPr>
                <w:rFonts w:ascii="宋体"/>
                <w:szCs w:val="21"/>
              </w:rPr>
            </w:pPr>
          </w:p>
        </w:tc>
        <w:tc>
          <w:tcPr>
            <w:tcW w:w="70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预算数</w:t>
            </w:r>
          </w:p>
        </w:tc>
        <w:tc>
          <w:tcPr>
            <w:tcW w:w="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预算数</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预算数</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预算数</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预算数</w:t>
            </w:r>
          </w:p>
        </w:tc>
        <w:tc>
          <w:tcPr>
            <w:tcW w:w="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预算数</w:t>
            </w:r>
          </w:p>
        </w:tc>
        <w:tc>
          <w:tcPr>
            <w:tcW w:w="6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决算数</w:t>
            </w:r>
          </w:p>
        </w:tc>
        <w:tc>
          <w:tcPr>
            <w:tcW w:w="7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r w:rsidR="00EA4432">
        <w:trPr>
          <w:jc w:val="center"/>
        </w:trPr>
        <w:tc>
          <w:tcPr>
            <w:tcW w:w="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19.40 </w:t>
            </w:r>
          </w:p>
        </w:tc>
        <w:tc>
          <w:tcPr>
            <w:tcW w:w="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15.93 </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9.00 </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9.00 </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6.40 </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5.42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6.40 </w:t>
            </w:r>
          </w:p>
        </w:tc>
        <w:tc>
          <w:tcPr>
            <w:tcW w:w="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5.42 </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4.00 </w:t>
            </w:r>
          </w:p>
        </w:tc>
        <w:tc>
          <w:tcPr>
            <w:tcW w:w="6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1.51 </w:t>
            </w:r>
          </w:p>
        </w:tc>
        <w:tc>
          <w:tcPr>
            <w:tcW w:w="70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r>
    </w:tbl>
    <w:p w:rsidR="00EA4432" w:rsidRDefault="00EA4432">
      <w:pPr>
        <w:ind w:left="0" w:firstLine="0"/>
        <w:jc w:val="left"/>
        <w:rPr>
          <w:rFonts w:ascii="宋体"/>
          <w:szCs w:val="21"/>
        </w:rPr>
      </w:pPr>
    </w:p>
    <w:p w:rsidR="00EA4432" w:rsidRDefault="00EA4432">
      <w:pPr>
        <w:ind w:left="0" w:firstLine="0"/>
        <w:jc w:val="left"/>
        <w:rPr>
          <w:rFonts w:ascii="宋体"/>
          <w:szCs w:val="21"/>
        </w:rPr>
      </w:pPr>
    </w:p>
    <w:p w:rsidR="00EA4432" w:rsidRDefault="00E51AEC">
      <w:pPr>
        <w:ind w:left="0" w:firstLine="0"/>
        <w:jc w:val="center"/>
        <w:rPr>
          <w:rFonts w:ascii="宋体"/>
          <w:szCs w:val="21"/>
        </w:rPr>
      </w:pPr>
      <w:r>
        <w:rPr>
          <w:rFonts w:ascii="宋体" w:hAnsi="宋体"/>
          <w:color w:val="000000"/>
          <w:szCs w:val="21"/>
        </w:rPr>
        <w:t xml:space="preserve"> 2018</w:t>
      </w:r>
      <w:r>
        <w:rPr>
          <w:rFonts w:ascii="宋体" w:hAnsi="宋体" w:hint="eastAsia"/>
          <w:color w:val="000000"/>
          <w:szCs w:val="21"/>
        </w:rPr>
        <w:t>年度政府性基金预算财政拨款支出决算表</w:t>
      </w:r>
    </w:p>
    <w:p w:rsidR="00EA4432" w:rsidRDefault="00E51AEC">
      <w:pPr>
        <w:autoSpaceDE w:val="0"/>
        <w:autoSpaceDN w:val="0"/>
        <w:adjustRightInd w:val="0"/>
        <w:ind w:right="360"/>
        <w:jc w:val="right"/>
        <w:rPr>
          <w:rFonts w:ascii="宋体" w:hAnsi="宋体"/>
          <w:szCs w:val="21"/>
        </w:rPr>
      </w:pPr>
      <w:r>
        <w:rPr>
          <w:rFonts w:ascii="宋体" w:hAnsi="宋体" w:hint="eastAsia"/>
          <w:szCs w:val="21"/>
        </w:rPr>
        <w:t>单位：万元</w:t>
      </w:r>
    </w:p>
    <w:tbl>
      <w:tblPr>
        <w:tblW w:w="8154" w:type="dxa"/>
        <w:jc w:val="center"/>
        <w:tblInd w:w="-469" w:type="dxa"/>
        <w:tblLayout w:type="fixed"/>
        <w:tblLook w:val="04A0" w:firstRow="1" w:lastRow="0" w:firstColumn="1" w:lastColumn="0" w:noHBand="0" w:noVBand="1"/>
      </w:tblPr>
      <w:tblGrid>
        <w:gridCol w:w="825"/>
        <w:gridCol w:w="792"/>
        <w:gridCol w:w="855"/>
        <w:gridCol w:w="1545"/>
        <w:gridCol w:w="1202"/>
        <w:gridCol w:w="1440"/>
        <w:gridCol w:w="1495"/>
      </w:tblGrid>
      <w:tr w:rsidR="00EA4432">
        <w:trPr>
          <w:trHeight w:val="480"/>
          <w:jc w:val="center"/>
        </w:trPr>
        <w:tc>
          <w:tcPr>
            <w:tcW w:w="4017" w:type="dxa"/>
            <w:gridSpan w:val="4"/>
            <w:tcBorders>
              <w:top w:val="single" w:sz="4" w:space="0" w:color="auto"/>
              <w:left w:val="single" w:sz="4" w:space="0" w:color="auto"/>
              <w:bottom w:val="single" w:sz="4" w:space="0" w:color="auto"/>
              <w:right w:val="single" w:sz="4" w:space="0" w:color="auto"/>
            </w:tcBorders>
            <w:noWrap/>
            <w:vAlign w:val="center"/>
          </w:tcPr>
          <w:p w:rsidR="00EA4432" w:rsidRDefault="00E51AEC">
            <w:pPr>
              <w:widowControl/>
              <w:jc w:val="center"/>
              <w:rPr>
                <w:rFonts w:ascii="宋体" w:hAnsi="宋体" w:cs="宋体"/>
                <w:szCs w:val="21"/>
              </w:rPr>
            </w:pPr>
            <w:r>
              <w:rPr>
                <w:rFonts w:ascii="宋体" w:hAnsi="宋体" w:cs="宋体" w:hint="eastAsia"/>
                <w:szCs w:val="21"/>
              </w:rPr>
              <w:t>项目</w:t>
            </w:r>
          </w:p>
        </w:tc>
        <w:tc>
          <w:tcPr>
            <w:tcW w:w="1202" w:type="dxa"/>
            <w:vMerge w:val="restart"/>
            <w:tcBorders>
              <w:top w:val="single" w:sz="4" w:space="0" w:color="auto"/>
              <w:left w:val="nil"/>
              <w:right w:val="single" w:sz="4" w:space="0" w:color="auto"/>
            </w:tcBorders>
            <w:noWrap/>
            <w:vAlign w:val="center"/>
          </w:tcPr>
          <w:p w:rsidR="00EA4432" w:rsidRDefault="00E51AEC">
            <w:pPr>
              <w:widowControl/>
              <w:rPr>
                <w:rFonts w:ascii="宋体" w:hAnsi="宋体" w:cs="宋体"/>
                <w:szCs w:val="21"/>
              </w:rPr>
            </w:pPr>
            <w:r>
              <w:rPr>
                <w:rFonts w:ascii="宋体" w:hAnsi="宋体" w:cs="宋体" w:hint="eastAsia"/>
                <w:szCs w:val="21"/>
              </w:rPr>
              <w:t>合计</w:t>
            </w:r>
          </w:p>
        </w:tc>
        <w:tc>
          <w:tcPr>
            <w:tcW w:w="1440" w:type="dxa"/>
            <w:vMerge w:val="restart"/>
            <w:tcBorders>
              <w:top w:val="single" w:sz="4" w:space="0" w:color="auto"/>
              <w:left w:val="nil"/>
              <w:right w:val="single" w:sz="4" w:space="0" w:color="auto"/>
            </w:tcBorders>
            <w:noWrap/>
            <w:vAlign w:val="center"/>
          </w:tcPr>
          <w:p w:rsidR="00EA4432" w:rsidRDefault="00E51AEC">
            <w:pPr>
              <w:widowControl/>
              <w:rPr>
                <w:rFonts w:ascii="宋体" w:hAnsi="宋体" w:cs="宋体"/>
                <w:szCs w:val="21"/>
              </w:rPr>
            </w:pPr>
            <w:r>
              <w:rPr>
                <w:rFonts w:ascii="宋体" w:hAnsi="宋体" w:cs="宋体" w:hint="eastAsia"/>
                <w:szCs w:val="21"/>
              </w:rPr>
              <w:t>基本支出</w:t>
            </w:r>
          </w:p>
        </w:tc>
        <w:tc>
          <w:tcPr>
            <w:tcW w:w="1495" w:type="dxa"/>
            <w:vMerge w:val="restart"/>
            <w:tcBorders>
              <w:top w:val="single" w:sz="4" w:space="0" w:color="auto"/>
              <w:left w:val="nil"/>
              <w:right w:val="single" w:sz="4" w:space="0" w:color="auto"/>
            </w:tcBorders>
            <w:noWrap/>
            <w:vAlign w:val="center"/>
          </w:tcPr>
          <w:p w:rsidR="00EA4432" w:rsidRDefault="00E51AEC">
            <w:pPr>
              <w:rPr>
                <w:rFonts w:ascii="宋体" w:hAnsi="宋体" w:cs="宋体"/>
                <w:szCs w:val="21"/>
              </w:rPr>
            </w:pPr>
            <w:r>
              <w:rPr>
                <w:rFonts w:ascii="宋体" w:hAnsi="宋体" w:cs="宋体" w:hint="eastAsia"/>
                <w:szCs w:val="21"/>
              </w:rPr>
              <w:t>项目支出</w:t>
            </w:r>
          </w:p>
        </w:tc>
      </w:tr>
      <w:tr w:rsidR="00EA4432">
        <w:trPr>
          <w:trHeight w:val="480"/>
          <w:jc w:val="center"/>
        </w:trPr>
        <w:tc>
          <w:tcPr>
            <w:tcW w:w="2472" w:type="dxa"/>
            <w:gridSpan w:val="3"/>
            <w:tcBorders>
              <w:top w:val="single" w:sz="4" w:space="0" w:color="auto"/>
              <w:left w:val="single" w:sz="4" w:space="0" w:color="auto"/>
              <w:bottom w:val="single" w:sz="4" w:space="0" w:color="auto"/>
              <w:right w:val="single" w:sz="4" w:space="0" w:color="auto"/>
            </w:tcBorders>
            <w:noWrap/>
            <w:vAlign w:val="center"/>
          </w:tcPr>
          <w:p w:rsidR="00EA4432" w:rsidRDefault="00E51AEC">
            <w:pPr>
              <w:widowControl/>
              <w:jc w:val="center"/>
              <w:rPr>
                <w:rFonts w:ascii="宋体" w:hAnsi="宋体" w:cs="宋体"/>
                <w:szCs w:val="21"/>
              </w:rPr>
            </w:pPr>
            <w:r>
              <w:rPr>
                <w:rFonts w:ascii="宋体" w:hAnsi="宋体" w:cs="宋体" w:hint="eastAsia"/>
                <w:szCs w:val="21"/>
              </w:rPr>
              <w:t>功能分类</w:t>
            </w:r>
          </w:p>
          <w:p w:rsidR="00EA4432" w:rsidRDefault="00E51AEC">
            <w:pPr>
              <w:widowControl/>
              <w:jc w:val="center"/>
              <w:rPr>
                <w:rFonts w:ascii="宋体" w:hAnsi="宋体" w:cs="宋体"/>
                <w:szCs w:val="21"/>
              </w:rPr>
            </w:pPr>
            <w:r>
              <w:rPr>
                <w:rFonts w:ascii="宋体" w:hAnsi="宋体" w:cs="宋体" w:hint="eastAsia"/>
                <w:szCs w:val="21"/>
              </w:rPr>
              <w:t>科目编码</w:t>
            </w:r>
          </w:p>
        </w:tc>
        <w:tc>
          <w:tcPr>
            <w:tcW w:w="1545" w:type="dxa"/>
            <w:vMerge w:val="restart"/>
            <w:tcBorders>
              <w:top w:val="nil"/>
              <w:left w:val="single" w:sz="4" w:space="0" w:color="auto"/>
              <w:bottom w:val="single" w:sz="4" w:space="0" w:color="auto"/>
              <w:right w:val="single" w:sz="4" w:space="0" w:color="auto"/>
            </w:tcBorders>
            <w:noWrap/>
            <w:vAlign w:val="center"/>
          </w:tcPr>
          <w:p w:rsidR="00EA4432" w:rsidRDefault="00E51AEC">
            <w:pPr>
              <w:widowControl/>
              <w:jc w:val="center"/>
              <w:rPr>
                <w:rFonts w:ascii="宋体" w:hAnsi="宋体" w:cs="宋体"/>
                <w:szCs w:val="21"/>
              </w:rPr>
            </w:pPr>
            <w:r>
              <w:rPr>
                <w:rFonts w:ascii="宋体" w:hAnsi="宋体" w:cs="宋体" w:hint="eastAsia"/>
                <w:szCs w:val="21"/>
              </w:rPr>
              <w:t>科目名称</w:t>
            </w:r>
          </w:p>
        </w:tc>
        <w:tc>
          <w:tcPr>
            <w:tcW w:w="1202" w:type="dxa"/>
            <w:vMerge/>
            <w:tcBorders>
              <w:left w:val="single" w:sz="4" w:space="0" w:color="auto"/>
              <w:right w:val="single" w:sz="4" w:space="0" w:color="auto"/>
            </w:tcBorders>
            <w:noWrap/>
            <w:vAlign w:val="center"/>
          </w:tcPr>
          <w:p w:rsidR="00EA4432" w:rsidRDefault="00EA4432">
            <w:pPr>
              <w:widowControl/>
              <w:jc w:val="center"/>
              <w:rPr>
                <w:rFonts w:ascii="宋体" w:hAnsi="宋体" w:cs="宋体"/>
                <w:szCs w:val="21"/>
              </w:rPr>
            </w:pPr>
          </w:p>
        </w:tc>
        <w:tc>
          <w:tcPr>
            <w:tcW w:w="1440" w:type="dxa"/>
            <w:vMerge/>
            <w:tcBorders>
              <w:left w:val="single" w:sz="4" w:space="0" w:color="auto"/>
              <w:right w:val="single" w:sz="4" w:space="0" w:color="auto"/>
            </w:tcBorders>
            <w:noWrap/>
            <w:vAlign w:val="center"/>
          </w:tcPr>
          <w:p w:rsidR="00EA4432" w:rsidRDefault="00EA4432">
            <w:pPr>
              <w:widowControl/>
              <w:jc w:val="center"/>
              <w:rPr>
                <w:rFonts w:ascii="宋体" w:hAnsi="宋体" w:cs="宋体"/>
                <w:szCs w:val="21"/>
              </w:rPr>
            </w:pPr>
          </w:p>
        </w:tc>
        <w:tc>
          <w:tcPr>
            <w:tcW w:w="1495" w:type="dxa"/>
            <w:vMerge/>
            <w:tcBorders>
              <w:left w:val="single" w:sz="4" w:space="0" w:color="auto"/>
              <w:right w:val="single" w:sz="4" w:space="0" w:color="auto"/>
            </w:tcBorders>
            <w:noWrap/>
            <w:vAlign w:val="center"/>
          </w:tcPr>
          <w:p w:rsidR="00EA4432" w:rsidRDefault="00EA4432">
            <w:pPr>
              <w:widowControl/>
              <w:jc w:val="center"/>
              <w:rPr>
                <w:rFonts w:ascii="宋体" w:hAnsi="宋体" w:cs="宋体"/>
                <w:szCs w:val="21"/>
              </w:rPr>
            </w:pPr>
          </w:p>
        </w:tc>
      </w:tr>
      <w:tr w:rsidR="00EA4432">
        <w:trPr>
          <w:trHeight w:val="480"/>
          <w:jc w:val="center"/>
        </w:trPr>
        <w:tc>
          <w:tcPr>
            <w:tcW w:w="825" w:type="dxa"/>
            <w:tcBorders>
              <w:top w:val="nil"/>
              <w:left w:val="single" w:sz="4" w:space="0" w:color="auto"/>
              <w:bottom w:val="single" w:sz="4" w:space="0" w:color="auto"/>
              <w:right w:val="single" w:sz="4" w:space="0" w:color="auto"/>
            </w:tcBorders>
            <w:noWrap/>
            <w:vAlign w:val="center"/>
          </w:tcPr>
          <w:p w:rsidR="00EA4432" w:rsidRDefault="00E51AEC">
            <w:pPr>
              <w:widowControl/>
              <w:rPr>
                <w:rFonts w:ascii="宋体" w:hAnsi="宋体" w:cs="宋体"/>
                <w:szCs w:val="21"/>
              </w:rPr>
            </w:pPr>
            <w:r>
              <w:rPr>
                <w:rFonts w:ascii="宋体" w:hAnsi="宋体" w:cs="宋体" w:hint="eastAsia"/>
                <w:szCs w:val="21"/>
              </w:rPr>
              <w:t>类</w:t>
            </w:r>
          </w:p>
        </w:tc>
        <w:tc>
          <w:tcPr>
            <w:tcW w:w="792" w:type="dxa"/>
            <w:tcBorders>
              <w:top w:val="nil"/>
              <w:left w:val="nil"/>
              <w:bottom w:val="single" w:sz="4" w:space="0" w:color="auto"/>
              <w:right w:val="single" w:sz="4" w:space="0" w:color="auto"/>
            </w:tcBorders>
            <w:noWrap/>
            <w:vAlign w:val="center"/>
          </w:tcPr>
          <w:p w:rsidR="00EA4432" w:rsidRDefault="00E51AEC">
            <w:pPr>
              <w:widowControl/>
              <w:rPr>
                <w:rFonts w:ascii="宋体" w:hAnsi="宋体" w:cs="宋体"/>
                <w:szCs w:val="21"/>
              </w:rPr>
            </w:pPr>
            <w:r>
              <w:rPr>
                <w:rFonts w:ascii="宋体" w:hAnsi="宋体" w:cs="宋体" w:hint="eastAsia"/>
                <w:szCs w:val="21"/>
              </w:rPr>
              <w:t>款</w:t>
            </w:r>
          </w:p>
        </w:tc>
        <w:tc>
          <w:tcPr>
            <w:tcW w:w="855" w:type="dxa"/>
            <w:tcBorders>
              <w:top w:val="nil"/>
              <w:left w:val="nil"/>
              <w:bottom w:val="single" w:sz="4" w:space="0" w:color="auto"/>
              <w:right w:val="single" w:sz="4" w:space="0" w:color="auto"/>
            </w:tcBorders>
            <w:noWrap/>
            <w:vAlign w:val="center"/>
          </w:tcPr>
          <w:p w:rsidR="00EA4432" w:rsidRDefault="00E51AEC">
            <w:pPr>
              <w:widowControl/>
              <w:rPr>
                <w:rFonts w:ascii="宋体" w:hAnsi="宋体" w:cs="宋体"/>
                <w:szCs w:val="21"/>
              </w:rPr>
            </w:pPr>
            <w:r>
              <w:rPr>
                <w:rFonts w:ascii="宋体" w:hAnsi="宋体" w:cs="宋体" w:hint="eastAsia"/>
                <w:szCs w:val="21"/>
              </w:rPr>
              <w:t>项</w:t>
            </w:r>
          </w:p>
        </w:tc>
        <w:tc>
          <w:tcPr>
            <w:tcW w:w="1545" w:type="dxa"/>
            <w:vMerge/>
            <w:tcBorders>
              <w:top w:val="nil"/>
              <w:left w:val="single" w:sz="4" w:space="0" w:color="auto"/>
              <w:bottom w:val="single" w:sz="4" w:space="0" w:color="auto"/>
              <w:right w:val="single" w:sz="4" w:space="0" w:color="auto"/>
            </w:tcBorders>
            <w:noWrap/>
            <w:vAlign w:val="center"/>
          </w:tcPr>
          <w:p w:rsidR="00EA4432" w:rsidRDefault="00EA4432">
            <w:pPr>
              <w:widowControl/>
              <w:jc w:val="center"/>
              <w:rPr>
                <w:rFonts w:ascii="宋体" w:hAnsi="宋体" w:cs="宋体"/>
                <w:szCs w:val="21"/>
              </w:rPr>
            </w:pPr>
          </w:p>
        </w:tc>
        <w:tc>
          <w:tcPr>
            <w:tcW w:w="1202" w:type="dxa"/>
            <w:vMerge/>
            <w:tcBorders>
              <w:left w:val="single" w:sz="4" w:space="0" w:color="auto"/>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40" w:type="dxa"/>
            <w:vMerge/>
            <w:tcBorders>
              <w:left w:val="single" w:sz="4" w:space="0" w:color="auto"/>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95" w:type="dxa"/>
            <w:vMerge/>
            <w:tcBorders>
              <w:left w:val="single" w:sz="4" w:space="0" w:color="auto"/>
              <w:bottom w:val="single" w:sz="4" w:space="0" w:color="auto"/>
              <w:right w:val="single" w:sz="4" w:space="0" w:color="auto"/>
            </w:tcBorders>
            <w:noWrap/>
            <w:vAlign w:val="center"/>
          </w:tcPr>
          <w:p w:rsidR="00EA4432" w:rsidRDefault="00EA4432">
            <w:pPr>
              <w:widowControl/>
              <w:rPr>
                <w:rFonts w:ascii="宋体" w:hAnsi="宋体" w:cs="宋体"/>
                <w:szCs w:val="21"/>
              </w:rPr>
            </w:pPr>
          </w:p>
        </w:tc>
      </w:tr>
      <w:tr w:rsidR="00EA4432">
        <w:trPr>
          <w:trHeight w:val="480"/>
          <w:jc w:val="center"/>
        </w:trPr>
        <w:tc>
          <w:tcPr>
            <w:tcW w:w="825" w:type="dxa"/>
            <w:tcBorders>
              <w:top w:val="nil"/>
              <w:left w:val="single" w:sz="4" w:space="0" w:color="auto"/>
              <w:bottom w:val="single" w:sz="4" w:space="0" w:color="auto"/>
              <w:right w:val="single" w:sz="4" w:space="0" w:color="auto"/>
            </w:tcBorders>
            <w:noWrap/>
            <w:vAlign w:val="center"/>
          </w:tcPr>
          <w:p w:rsidR="00EA4432" w:rsidRDefault="00EA4432">
            <w:pPr>
              <w:jc w:val="center"/>
              <w:rPr>
                <w:rFonts w:ascii="宋体" w:hAnsi="宋体" w:cs="宋体"/>
                <w:szCs w:val="21"/>
              </w:rPr>
            </w:pPr>
          </w:p>
        </w:tc>
        <w:tc>
          <w:tcPr>
            <w:tcW w:w="792" w:type="dxa"/>
            <w:tcBorders>
              <w:top w:val="nil"/>
              <w:left w:val="nil"/>
              <w:bottom w:val="single" w:sz="4" w:space="0" w:color="auto"/>
              <w:right w:val="single" w:sz="4" w:space="0" w:color="auto"/>
            </w:tcBorders>
            <w:noWrap/>
            <w:vAlign w:val="center"/>
          </w:tcPr>
          <w:p w:rsidR="00EA4432" w:rsidRDefault="00E51AEC">
            <w:pPr>
              <w:jc w:val="center"/>
              <w:rPr>
                <w:rFonts w:ascii="宋体" w:hAnsi="宋体" w:cs="宋体"/>
                <w:szCs w:val="21"/>
              </w:rPr>
            </w:pPr>
            <w:r>
              <w:rPr>
                <w:rFonts w:ascii="宋体" w:hAnsi="宋体" w:cs="宋体" w:hint="eastAsia"/>
                <w:szCs w:val="21"/>
              </w:rPr>
              <w:t xml:space="preserve">　</w:t>
            </w:r>
          </w:p>
        </w:tc>
        <w:tc>
          <w:tcPr>
            <w:tcW w:w="855" w:type="dxa"/>
            <w:tcBorders>
              <w:top w:val="nil"/>
              <w:left w:val="nil"/>
              <w:bottom w:val="single" w:sz="4" w:space="0" w:color="auto"/>
              <w:right w:val="single" w:sz="4" w:space="0" w:color="auto"/>
            </w:tcBorders>
            <w:noWrap/>
            <w:vAlign w:val="center"/>
          </w:tcPr>
          <w:p w:rsidR="00EA4432" w:rsidRDefault="00E51AEC">
            <w:pPr>
              <w:jc w:val="center"/>
              <w:rPr>
                <w:rFonts w:ascii="宋体" w:hAnsi="宋体" w:cs="宋体"/>
                <w:szCs w:val="21"/>
              </w:rPr>
            </w:pPr>
            <w:r>
              <w:rPr>
                <w:rFonts w:ascii="宋体" w:hAnsi="宋体" w:cs="宋体" w:hint="eastAsia"/>
                <w:szCs w:val="21"/>
              </w:rPr>
              <w:t xml:space="preserve">　</w:t>
            </w:r>
          </w:p>
        </w:tc>
        <w:tc>
          <w:tcPr>
            <w:tcW w:w="1545" w:type="dxa"/>
            <w:tcBorders>
              <w:top w:val="nil"/>
              <w:left w:val="nil"/>
              <w:bottom w:val="single" w:sz="4" w:space="0" w:color="auto"/>
              <w:right w:val="single" w:sz="4" w:space="0" w:color="auto"/>
            </w:tcBorders>
            <w:noWrap/>
            <w:vAlign w:val="center"/>
          </w:tcPr>
          <w:p w:rsidR="00EA4432" w:rsidRDefault="00E51AEC">
            <w:pPr>
              <w:jc w:val="center"/>
              <w:rPr>
                <w:rFonts w:ascii="宋体" w:hAnsi="宋体" w:cs="宋体"/>
                <w:szCs w:val="21"/>
              </w:rPr>
            </w:pPr>
            <w:r>
              <w:rPr>
                <w:rFonts w:ascii="宋体" w:hAnsi="宋体" w:cs="宋体" w:hint="eastAsia"/>
                <w:szCs w:val="21"/>
              </w:rPr>
              <w:t>其他支出</w:t>
            </w:r>
          </w:p>
        </w:tc>
        <w:tc>
          <w:tcPr>
            <w:tcW w:w="1202"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40"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95"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r>
      <w:tr w:rsidR="00EA4432">
        <w:trPr>
          <w:trHeight w:val="480"/>
          <w:jc w:val="center"/>
        </w:trPr>
        <w:tc>
          <w:tcPr>
            <w:tcW w:w="825" w:type="dxa"/>
            <w:tcBorders>
              <w:top w:val="nil"/>
              <w:left w:val="single" w:sz="4" w:space="0" w:color="auto"/>
              <w:bottom w:val="single" w:sz="4" w:space="0" w:color="auto"/>
              <w:right w:val="single" w:sz="4" w:space="0" w:color="auto"/>
            </w:tcBorders>
            <w:noWrap/>
            <w:vAlign w:val="center"/>
          </w:tcPr>
          <w:p w:rsidR="00EA4432" w:rsidRDefault="00EA4432">
            <w:pPr>
              <w:jc w:val="center"/>
              <w:rPr>
                <w:rFonts w:ascii="宋体" w:hAnsi="宋体" w:cs="宋体"/>
                <w:szCs w:val="21"/>
              </w:rPr>
            </w:pPr>
          </w:p>
        </w:tc>
        <w:tc>
          <w:tcPr>
            <w:tcW w:w="792" w:type="dxa"/>
            <w:tcBorders>
              <w:top w:val="nil"/>
              <w:left w:val="nil"/>
              <w:bottom w:val="single" w:sz="4" w:space="0" w:color="auto"/>
              <w:right w:val="single" w:sz="4" w:space="0" w:color="auto"/>
            </w:tcBorders>
            <w:noWrap/>
            <w:vAlign w:val="center"/>
          </w:tcPr>
          <w:p w:rsidR="00EA4432" w:rsidRDefault="00EA4432">
            <w:pPr>
              <w:jc w:val="center"/>
              <w:rPr>
                <w:rFonts w:ascii="宋体" w:hAnsi="宋体" w:cs="宋体"/>
                <w:szCs w:val="21"/>
              </w:rPr>
            </w:pPr>
          </w:p>
        </w:tc>
        <w:tc>
          <w:tcPr>
            <w:tcW w:w="855" w:type="dxa"/>
            <w:tcBorders>
              <w:top w:val="nil"/>
              <w:left w:val="nil"/>
              <w:bottom w:val="single" w:sz="4" w:space="0" w:color="auto"/>
              <w:right w:val="single" w:sz="4" w:space="0" w:color="auto"/>
            </w:tcBorders>
            <w:noWrap/>
            <w:vAlign w:val="center"/>
          </w:tcPr>
          <w:p w:rsidR="00EA4432" w:rsidRDefault="00E51AEC">
            <w:pPr>
              <w:jc w:val="center"/>
              <w:rPr>
                <w:rFonts w:ascii="宋体" w:hAnsi="宋体" w:cs="宋体"/>
                <w:szCs w:val="21"/>
              </w:rPr>
            </w:pPr>
            <w:r>
              <w:rPr>
                <w:rFonts w:ascii="宋体" w:hAnsi="宋体" w:cs="宋体" w:hint="eastAsia"/>
                <w:szCs w:val="21"/>
              </w:rPr>
              <w:t xml:space="preserve">　</w:t>
            </w:r>
          </w:p>
        </w:tc>
        <w:tc>
          <w:tcPr>
            <w:tcW w:w="1545" w:type="dxa"/>
            <w:tcBorders>
              <w:top w:val="nil"/>
              <w:left w:val="nil"/>
              <w:bottom w:val="single" w:sz="4" w:space="0" w:color="auto"/>
              <w:right w:val="single" w:sz="4" w:space="0" w:color="auto"/>
            </w:tcBorders>
            <w:noWrap/>
            <w:vAlign w:val="center"/>
          </w:tcPr>
          <w:p w:rsidR="00EA4432" w:rsidRDefault="00EA4432">
            <w:pPr>
              <w:rPr>
                <w:rFonts w:ascii="宋体" w:hAnsi="宋体" w:cs="宋体"/>
                <w:szCs w:val="21"/>
              </w:rPr>
            </w:pPr>
          </w:p>
        </w:tc>
        <w:tc>
          <w:tcPr>
            <w:tcW w:w="1202"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40"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95"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r>
      <w:tr w:rsidR="00EA4432">
        <w:trPr>
          <w:trHeight w:val="480"/>
          <w:jc w:val="center"/>
        </w:trPr>
        <w:tc>
          <w:tcPr>
            <w:tcW w:w="825" w:type="dxa"/>
            <w:tcBorders>
              <w:top w:val="nil"/>
              <w:left w:val="single" w:sz="4" w:space="0" w:color="auto"/>
              <w:bottom w:val="single" w:sz="4" w:space="0" w:color="auto"/>
              <w:right w:val="single" w:sz="4" w:space="0" w:color="auto"/>
            </w:tcBorders>
            <w:noWrap/>
            <w:vAlign w:val="center"/>
          </w:tcPr>
          <w:p w:rsidR="00EA4432" w:rsidRDefault="00EA4432">
            <w:pPr>
              <w:jc w:val="center"/>
              <w:rPr>
                <w:rFonts w:ascii="宋体" w:hAnsi="宋体" w:cs="宋体"/>
                <w:szCs w:val="21"/>
              </w:rPr>
            </w:pPr>
          </w:p>
        </w:tc>
        <w:tc>
          <w:tcPr>
            <w:tcW w:w="792" w:type="dxa"/>
            <w:tcBorders>
              <w:top w:val="nil"/>
              <w:left w:val="nil"/>
              <w:bottom w:val="single" w:sz="4" w:space="0" w:color="auto"/>
              <w:right w:val="single" w:sz="4" w:space="0" w:color="auto"/>
            </w:tcBorders>
            <w:noWrap/>
            <w:vAlign w:val="center"/>
          </w:tcPr>
          <w:p w:rsidR="00EA4432" w:rsidRDefault="00EA4432">
            <w:pPr>
              <w:jc w:val="center"/>
              <w:rPr>
                <w:rFonts w:ascii="宋体" w:hAnsi="宋体" w:cs="宋体"/>
                <w:szCs w:val="21"/>
              </w:rPr>
            </w:pPr>
          </w:p>
        </w:tc>
        <w:tc>
          <w:tcPr>
            <w:tcW w:w="855" w:type="dxa"/>
            <w:tcBorders>
              <w:top w:val="nil"/>
              <w:left w:val="nil"/>
              <w:bottom w:val="single" w:sz="4" w:space="0" w:color="auto"/>
              <w:right w:val="single" w:sz="4" w:space="0" w:color="auto"/>
            </w:tcBorders>
            <w:noWrap/>
            <w:vAlign w:val="center"/>
          </w:tcPr>
          <w:p w:rsidR="00EA4432" w:rsidRDefault="00EA4432">
            <w:pPr>
              <w:jc w:val="center"/>
              <w:rPr>
                <w:rFonts w:ascii="宋体" w:hAnsi="宋体" w:cs="宋体"/>
                <w:szCs w:val="21"/>
              </w:rPr>
            </w:pPr>
          </w:p>
        </w:tc>
        <w:tc>
          <w:tcPr>
            <w:tcW w:w="1545" w:type="dxa"/>
            <w:tcBorders>
              <w:top w:val="nil"/>
              <w:left w:val="nil"/>
              <w:bottom w:val="single" w:sz="4" w:space="0" w:color="auto"/>
              <w:right w:val="single" w:sz="4" w:space="0" w:color="auto"/>
            </w:tcBorders>
            <w:noWrap/>
            <w:vAlign w:val="center"/>
          </w:tcPr>
          <w:p w:rsidR="00EA4432" w:rsidRDefault="00EA4432">
            <w:pPr>
              <w:rPr>
                <w:rFonts w:ascii="宋体" w:hAnsi="宋体" w:cs="宋体"/>
                <w:szCs w:val="21"/>
              </w:rPr>
            </w:pPr>
          </w:p>
        </w:tc>
        <w:tc>
          <w:tcPr>
            <w:tcW w:w="1202"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40"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95"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r>
      <w:tr w:rsidR="00EA4432">
        <w:trPr>
          <w:trHeight w:val="480"/>
          <w:jc w:val="center"/>
        </w:trPr>
        <w:tc>
          <w:tcPr>
            <w:tcW w:w="825" w:type="dxa"/>
            <w:tcBorders>
              <w:top w:val="nil"/>
              <w:left w:val="single" w:sz="4" w:space="0" w:color="auto"/>
              <w:bottom w:val="single" w:sz="4" w:space="0" w:color="auto"/>
              <w:right w:val="single" w:sz="4" w:space="0" w:color="auto"/>
            </w:tcBorders>
            <w:noWrap/>
            <w:vAlign w:val="center"/>
          </w:tcPr>
          <w:p w:rsidR="00EA4432" w:rsidRDefault="00E51AEC">
            <w:pPr>
              <w:jc w:val="center"/>
              <w:rPr>
                <w:rFonts w:ascii="宋体" w:hAnsi="宋体" w:cs="宋体"/>
                <w:szCs w:val="21"/>
              </w:rPr>
            </w:pPr>
            <w:r>
              <w:rPr>
                <w:rFonts w:ascii="宋体" w:hAnsi="宋体" w:cs="宋体" w:hint="eastAsia"/>
                <w:szCs w:val="21"/>
              </w:rPr>
              <w:t>…</w:t>
            </w:r>
          </w:p>
        </w:tc>
        <w:tc>
          <w:tcPr>
            <w:tcW w:w="792" w:type="dxa"/>
            <w:tcBorders>
              <w:top w:val="nil"/>
              <w:left w:val="nil"/>
              <w:bottom w:val="single" w:sz="4" w:space="0" w:color="auto"/>
              <w:right w:val="single" w:sz="4" w:space="0" w:color="auto"/>
            </w:tcBorders>
            <w:noWrap/>
            <w:vAlign w:val="center"/>
          </w:tcPr>
          <w:p w:rsidR="00EA4432" w:rsidRDefault="00E51AEC">
            <w:pPr>
              <w:jc w:val="center"/>
              <w:rPr>
                <w:rFonts w:ascii="宋体" w:hAnsi="宋体" w:cs="宋体"/>
                <w:szCs w:val="21"/>
              </w:rPr>
            </w:pPr>
            <w:r>
              <w:rPr>
                <w:rFonts w:ascii="宋体" w:hAnsi="宋体" w:cs="宋体" w:hint="eastAsia"/>
                <w:szCs w:val="21"/>
              </w:rPr>
              <w:t>…</w:t>
            </w:r>
          </w:p>
        </w:tc>
        <w:tc>
          <w:tcPr>
            <w:tcW w:w="855" w:type="dxa"/>
            <w:tcBorders>
              <w:top w:val="nil"/>
              <w:left w:val="nil"/>
              <w:bottom w:val="single" w:sz="4" w:space="0" w:color="auto"/>
              <w:right w:val="single" w:sz="4" w:space="0" w:color="auto"/>
            </w:tcBorders>
            <w:noWrap/>
            <w:vAlign w:val="center"/>
          </w:tcPr>
          <w:p w:rsidR="00EA4432" w:rsidRDefault="00E51AEC">
            <w:pPr>
              <w:jc w:val="center"/>
              <w:rPr>
                <w:rFonts w:ascii="宋体" w:hAnsi="宋体" w:cs="宋体"/>
                <w:szCs w:val="21"/>
              </w:rPr>
            </w:pPr>
            <w:r>
              <w:rPr>
                <w:rFonts w:ascii="宋体" w:hAnsi="宋体" w:cs="宋体" w:hint="eastAsia"/>
                <w:szCs w:val="21"/>
              </w:rPr>
              <w:t>…</w:t>
            </w:r>
          </w:p>
        </w:tc>
        <w:tc>
          <w:tcPr>
            <w:tcW w:w="1545" w:type="dxa"/>
            <w:tcBorders>
              <w:top w:val="nil"/>
              <w:left w:val="nil"/>
              <w:bottom w:val="single" w:sz="4" w:space="0" w:color="auto"/>
              <w:right w:val="single" w:sz="4" w:space="0" w:color="auto"/>
            </w:tcBorders>
            <w:noWrap/>
            <w:vAlign w:val="center"/>
          </w:tcPr>
          <w:p w:rsidR="00EA4432" w:rsidRDefault="00E51AEC">
            <w:pPr>
              <w:rPr>
                <w:rFonts w:ascii="宋体" w:hAnsi="宋体" w:cs="宋体"/>
                <w:szCs w:val="21"/>
              </w:rPr>
            </w:pPr>
            <w:r>
              <w:rPr>
                <w:rFonts w:ascii="宋体" w:hAnsi="宋体" w:cs="宋体" w:hint="eastAsia"/>
                <w:szCs w:val="21"/>
              </w:rPr>
              <w:t>…</w:t>
            </w:r>
          </w:p>
        </w:tc>
        <w:tc>
          <w:tcPr>
            <w:tcW w:w="1202"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40"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c>
          <w:tcPr>
            <w:tcW w:w="1495"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szCs w:val="21"/>
              </w:rPr>
            </w:pPr>
          </w:p>
        </w:tc>
      </w:tr>
      <w:tr w:rsidR="00EA4432">
        <w:trPr>
          <w:trHeight w:val="480"/>
          <w:jc w:val="center"/>
        </w:trPr>
        <w:tc>
          <w:tcPr>
            <w:tcW w:w="4017" w:type="dxa"/>
            <w:gridSpan w:val="4"/>
            <w:tcBorders>
              <w:top w:val="single" w:sz="4" w:space="0" w:color="auto"/>
              <w:left w:val="single" w:sz="4" w:space="0" w:color="auto"/>
              <w:bottom w:val="single" w:sz="4" w:space="0" w:color="auto"/>
              <w:right w:val="single" w:sz="4" w:space="0" w:color="000000"/>
            </w:tcBorders>
            <w:noWrap/>
            <w:vAlign w:val="center"/>
          </w:tcPr>
          <w:p w:rsidR="00EA4432" w:rsidRDefault="00E51AEC">
            <w:pPr>
              <w:widowControl/>
              <w:jc w:val="center"/>
              <w:rPr>
                <w:rFonts w:ascii="宋体" w:hAnsi="宋体" w:cs="宋体"/>
                <w:kern w:val="0"/>
                <w:szCs w:val="21"/>
              </w:rPr>
            </w:pPr>
            <w:r>
              <w:rPr>
                <w:rFonts w:ascii="宋体" w:hAnsi="宋体" w:cs="宋体" w:hint="eastAsia"/>
                <w:kern w:val="0"/>
                <w:szCs w:val="21"/>
              </w:rPr>
              <w:t>合计</w:t>
            </w:r>
          </w:p>
        </w:tc>
        <w:tc>
          <w:tcPr>
            <w:tcW w:w="1202"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kern w:val="0"/>
                <w:szCs w:val="21"/>
              </w:rPr>
            </w:pPr>
          </w:p>
        </w:tc>
        <w:tc>
          <w:tcPr>
            <w:tcW w:w="1440"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kern w:val="0"/>
                <w:szCs w:val="21"/>
              </w:rPr>
            </w:pPr>
          </w:p>
        </w:tc>
        <w:tc>
          <w:tcPr>
            <w:tcW w:w="1495" w:type="dxa"/>
            <w:tcBorders>
              <w:top w:val="nil"/>
              <w:left w:val="nil"/>
              <w:bottom w:val="single" w:sz="4" w:space="0" w:color="auto"/>
              <w:right w:val="single" w:sz="4" w:space="0" w:color="auto"/>
            </w:tcBorders>
            <w:noWrap/>
            <w:vAlign w:val="center"/>
          </w:tcPr>
          <w:p w:rsidR="00EA4432" w:rsidRDefault="00EA4432">
            <w:pPr>
              <w:widowControl/>
              <w:rPr>
                <w:rFonts w:ascii="宋体" w:hAnsi="宋体" w:cs="宋体"/>
                <w:kern w:val="0"/>
                <w:szCs w:val="21"/>
              </w:rPr>
            </w:pPr>
          </w:p>
        </w:tc>
      </w:tr>
    </w:tbl>
    <w:p w:rsidR="00EA4432" w:rsidRDefault="00E51AEC">
      <w:pPr>
        <w:ind w:left="0" w:firstLine="0"/>
        <w:jc w:val="left"/>
        <w:rPr>
          <w:rFonts w:ascii="宋体"/>
          <w:szCs w:val="21"/>
        </w:rPr>
      </w:pPr>
      <w:r>
        <w:rPr>
          <w:rFonts w:ascii="宋体" w:hAnsi="宋体" w:hint="eastAsia"/>
          <w:color w:val="000000"/>
          <w:szCs w:val="21"/>
        </w:rPr>
        <w:t>注：刘海粟美术馆</w:t>
      </w:r>
      <w:r>
        <w:rPr>
          <w:rFonts w:ascii="宋体" w:hAnsi="宋体"/>
          <w:color w:val="000000"/>
          <w:szCs w:val="21"/>
        </w:rPr>
        <w:t xml:space="preserve"> 2018</w:t>
      </w:r>
      <w:r>
        <w:rPr>
          <w:rFonts w:ascii="宋体" w:hAnsi="宋体" w:hint="eastAsia"/>
          <w:color w:val="000000"/>
          <w:szCs w:val="21"/>
        </w:rPr>
        <w:t>年度无政府性基金预算财政拨款支出，故本表无数据。</w:t>
      </w:r>
    </w:p>
    <w:p w:rsidR="00EA4432" w:rsidRDefault="00EA4432">
      <w:pPr>
        <w:ind w:left="0" w:firstLine="0"/>
        <w:jc w:val="left"/>
        <w:rPr>
          <w:rFonts w:ascii="宋体"/>
          <w:szCs w:val="21"/>
        </w:rPr>
      </w:pPr>
    </w:p>
    <w:p w:rsidR="00EA4432" w:rsidRDefault="00EA4432">
      <w:pPr>
        <w:ind w:left="0" w:firstLine="0"/>
        <w:jc w:val="left"/>
      </w:pPr>
    </w:p>
    <w:p w:rsidR="00EA4432" w:rsidRDefault="00EA4432">
      <w:pPr>
        <w:ind w:left="0" w:firstLine="0"/>
        <w:jc w:val="left"/>
      </w:pPr>
    </w:p>
    <w:p w:rsidR="00EA4432" w:rsidRDefault="00EA4432">
      <w:pPr>
        <w:ind w:left="0" w:firstLine="0"/>
        <w:jc w:val="left"/>
      </w:pPr>
    </w:p>
    <w:p w:rsidR="00EA4432" w:rsidRDefault="00EA4432">
      <w:pPr>
        <w:ind w:left="0" w:firstLine="0"/>
        <w:jc w:val="left"/>
      </w:pPr>
    </w:p>
    <w:p w:rsidR="00EA4432" w:rsidRDefault="00EA4432">
      <w:pPr>
        <w:ind w:left="0" w:firstLine="0"/>
        <w:jc w:val="left"/>
      </w:pPr>
    </w:p>
    <w:p w:rsidR="00EA4432" w:rsidRDefault="00EA4432">
      <w:pPr>
        <w:ind w:left="0" w:firstLine="0"/>
        <w:jc w:val="left"/>
      </w:pPr>
    </w:p>
    <w:p w:rsidR="00EA4432" w:rsidRDefault="00EA4432">
      <w:pPr>
        <w:ind w:left="0" w:firstLine="0"/>
        <w:jc w:val="left"/>
      </w:pPr>
    </w:p>
    <w:p w:rsidR="00EA4432" w:rsidRDefault="00E51AEC">
      <w:pPr>
        <w:rPr>
          <w:rFonts w:ascii="宋体"/>
          <w:szCs w:val="21"/>
        </w:rPr>
      </w:pPr>
      <w:r>
        <w:br w:type="page"/>
      </w:r>
    </w:p>
    <w:p w:rsidR="00EA4432" w:rsidRDefault="00E51AEC">
      <w:pPr>
        <w:ind w:left="0" w:firstLine="0"/>
        <w:jc w:val="center"/>
        <w:rPr>
          <w:rFonts w:ascii="宋体"/>
          <w:szCs w:val="21"/>
        </w:rPr>
      </w:pPr>
      <w:r>
        <w:rPr>
          <w:rFonts w:ascii="宋体" w:hAnsi="宋体" w:hint="eastAsia"/>
          <w:color w:val="000000"/>
          <w:szCs w:val="21"/>
        </w:rPr>
        <w:t>资产负债情况表</w:t>
      </w:r>
    </w:p>
    <w:p w:rsidR="00EA4432" w:rsidRDefault="00E51AEC">
      <w:pPr>
        <w:ind w:left="0" w:firstLine="0"/>
        <w:jc w:val="right"/>
        <w:rPr>
          <w:rFonts w:ascii="宋体"/>
          <w:szCs w:val="21"/>
        </w:rPr>
      </w:pPr>
      <w:r>
        <w:rPr>
          <w:rFonts w:ascii="宋体" w:hAnsi="宋体" w:hint="eastAsia"/>
          <w:color w:val="000000"/>
          <w:szCs w:val="21"/>
        </w:rPr>
        <w:t>单位：万元</w:t>
      </w:r>
    </w:p>
    <w:tbl>
      <w:tblPr>
        <w:tblW w:w="9540" w:type="dxa"/>
        <w:tblInd w:w="-792" w:type="dxa"/>
        <w:tblLayout w:type="fixed"/>
        <w:tblLook w:val="04A0" w:firstRow="1" w:lastRow="0" w:firstColumn="1" w:lastColumn="0" w:noHBand="0" w:noVBand="1"/>
      </w:tblPr>
      <w:tblGrid>
        <w:gridCol w:w="4320"/>
        <w:gridCol w:w="1440"/>
        <w:gridCol w:w="1260"/>
        <w:gridCol w:w="1260"/>
        <w:gridCol w:w="1260"/>
      </w:tblGrid>
      <w:tr w:rsidR="00EA4432">
        <w:trPr>
          <w:trHeight w:hRule="exact" w:val="833"/>
        </w:trPr>
        <w:tc>
          <w:tcPr>
            <w:tcW w:w="4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数量</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价值</w:t>
            </w:r>
          </w:p>
        </w:tc>
      </w:tr>
      <w:tr w:rsidR="00EA4432">
        <w:trPr>
          <w:trHeight w:hRule="exact" w:val="396"/>
        </w:trPr>
        <w:tc>
          <w:tcPr>
            <w:tcW w:w="4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left"/>
              <w:rPr>
                <w:rFonts w:ascii="宋体"/>
                <w:szCs w:val="21"/>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年初数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年末数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年初数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center"/>
              <w:rPr>
                <w:rFonts w:ascii="宋体"/>
                <w:szCs w:val="21"/>
              </w:rPr>
            </w:pPr>
            <w:r>
              <w:rPr>
                <w:rFonts w:ascii="宋体" w:hAnsi="宋体" w:hint="eastAsia"/>
                <w:color w:val="000000"/>
                <w:szCs w:val="21"/>
              </w:rPr>
              <w:t>年末数</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b/>
                <w:color w:val="000000"/>
                <w:szCs w:val="21"/>
              </w:rPr>
              <w:t>一、资产合计</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2,2094.15</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22,232.63</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（一）流动资产</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1,809.98</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1,330.53</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（二）固定资产</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20,271.17</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20,889.10</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其中：</w:t>
            </w:r>
            <w:r>
              <w:rPr>
                <w:rFonts w:ascii="宋体" w:hAnsi="宋体"/>
                <w:color w:val="000000"/>
                <w:szCs w:val="21"/>
              </w:rPr>
              <w:t>1.</w:t>
            </w:r>
            <w:r>
              <w:rPr>
                <w:rFonts w:ascii="宋体" w:hAnsi="宋体" w:hint="eastAsia"/>
                <w:color w:val="000000"/>
                <w:szCs w:val="21"/>
              </w:rPr>
              <w:t>房屋（平方米）</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12,540.00</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12,651.92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16,581.44</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15,494.69</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color w:val="000000"/>
                <w:szCs w:val="21"/>
              </w:rPr>
              <w:t> </w:t>
            </w:r>
            <w:r>
              <w:rPr>
                <w:rFonts w:ascii="宋体" w:hAnsi="宋体"/>
                <w:color w:val="000000"/>
                <w:szCs w:val="21"/>
              </w:rPr>
              <w:t xml:space="preserve">                  2. </w:t>
            </w:r>
            <w:r>
              <w:rPr>
                <w:rFonts w:ascii="宋体" w:hAnsi="宋体" w:hint="eastAsia"/>
                <w:color w:val="000000"/>
                <w:szCs w:val="21"/>
              </w:rPr>
              <w:t>通用设备（台</w:t>
            </w:r>
            <w:r>
              <w:rPr>
                <w:rFonts w:ascii="宋体" w:hAnsi="宋体"/>
                <w:color w:val="000000"/>
                <w:szCs w:val="21"/>
              </w:rPr>
              <w:t>/</w:t>
            </w:r>
            <w:r>
              <w:rPr>
                <w:rFonts w:ascii="宋体" w:hAnsi="宋体" w:hint="eastAsia"/>
                <w:color w:val="000000"/>
                <w:szCs w:val="21"/>
              </w:rPr>
              <w:t>套</w:t>
            </w:r>
            <w:r>
              <w:rPr>
                <w:rFonts w:ascii="宋体" w:hAnsi="宋体"/>
                <w:color w:val="000000"/>
                <w:szCs w:val="21"/>
              </w:rPr>
              <w:t>/</w:t>
            </w:r>
            <w:r>
              <w:rPr>
                <w:rFonts w:ascii="宋体" w:hAnsi="宋体" w:hint="eastAsia"/>
                <w:color w:val="000000"/>
                <w:szCs w:val="21"/>
              </w:rPr>
              <w:t>辆）</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3</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4</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446.57</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1,388.88</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Chars="1000" w:firstLine="2100"/>
              <w:jc w:val="left"/>
              <w:rPr>
                <w:rFonts w:ascii="宋体"/>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）车辆</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46.79</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46.79</w:t>
            </w:r>
          </w:p>
        </w:tc>
      </w:tr>
      <w:tr w:rsidR="00EA4432">
        <w:trPr>
          <w:trHeight w:hRule="exact" w:val="558"/>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一般公务用车</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46.79</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46.79</w:t>
            </w:r>
          </w:p>
        </w:tc>
      </w:tr>
      <w:tr w:rsidR="00EA4432">
        <w:trPr>
          <w:trHeight w:hRule="exact" w:val="608"/>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执法执勤用车</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特种专业技术用车</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rsidP="001D6716">
            <w:pPr>
              <w:ind w:left="2730" w:hangingChars="1300" w:hanging="2730"/>
              <w:jc w:val="left"/>
              <w:rPr>
                <w:rFonts w:ascii="宋体"/>
                <w:szCs w:val="21"/>
              </w:rPr>
            </w:pPr>
            <w:r>
              <w:rPr>
                <w:rFonts w:ascii="宋体" w:hAnsi="宋体"/>
                <w:color w:val="000000"/>
                <w:szCs w:val="21"/>
              </w:rPr>
              <w:t xml:space="preserve">                           </w:t>
            </w:r>
            <w:r>
              <w:rPr>
                <w:rFonts w:ascii="宋体" w:hAnsi="宋体" w:hint="eastAsia"/>
                <w:color w:val="000000"/>
                <w:szCs w:val="21"/>
              </w:rPr>
              <w:t>其他用车</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Chars="1050" w:firstLine="2205"/>
              <w:jc w:val="left"/>
              <w:rPr>
                <w:rFonts w:ascii="宋体"/>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）单价</w:t>
            </w:r>
            <w:r>
              <w:rPr>
                <w:rFonts w:ascii="宋体" w:hAnsi="宋体"/>
                <w:color w:val="000000"/>
                <w:szCs w:val="21"/>
              </w:rPr>
              <w:t>50</w:t>
            </w:r>
            <w:r>
              <w:rPr>
                <w:rFonts w:ascii="宋体" w:hAnsi="宋体" w:hint="eastAsia"/>
                <w:color w:val="000000"/>
                <w:szCs w:val="21"/>
              </w:rPr>
              <w:t>万元以上通用设备（不含车辆）</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399.78</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1,342.09</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Chars="1000" w:firstLine="2100"/>
              <w:jc w:val="left"/>
              <w:rPr>
                <w:rFonts w:ascii="宋体"/>
                <w:szCs w:val="21"/>
              </w:rPr>
            </w:pPr>
            <w:r>
              <w:rPr>
                <w:rFonts w:ascii="宋体" w:hAnsi="宋体"/>
                <w:color w:val="000000"/>
                <w:szCs w:val="21"/>
              </w:rPr>
              <w:t xml:space="preserve">3. </w:t>
            </w:r>
            <w:r>
              <w:rPr>
                <w:rFonts w:ascii="宋体" w:hAnsi="宋体" w:hint="eastAsia"/>
                <w:color w:val="000000"/>
                <w:szCs w:val="21"/>
              </w:rPr>
              <w:t>专用设备（台</w:t>
            </w:r>
            <w:r>
              <w:rPr>
                <w:rFonts w:ascii="宋体" w:hAnsi="宋体"/>
                <w:color w:val="000000"/>
                <w:szCs w:val="21"/>
              </w:rPr>
              <w:t>/</w:t>
            </w:r>
            <w:r>
              <w:rPr>
                <w:rFonts w:ascii="宋体" w:hAnsi="宋体" w:hint="eastAsia"/>
                <w:color w:val="000000"/>
                <w:szCs w:val="21"/>
              </w:rPr>
              <w:t>套）</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141.03</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141.03</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Chars="1150" w:firstLine="2415"/>
              <w:jc w:val="left"/>
              <w:rPr>
                <w:rFonts w:ascii="宋体"/>
                <w:szCs w:val="21"/>
              </w:rPr>
            </w:pPr>
            <w:r>
              <w:rPr>
                <w:rFonts w:ascii="宋体" w:hAnsi="宋体" w:hint="eastAsia"/>
                <w:color w:val="000000"/>
                <w:szCs w:val="21"/>
              </w:rPr>
              <w:t>单价</w:t>
            </w:r>
            <w:r>
              <w:rPr>
                <w:rFonts w:ascii="宋体" w:hAnsi="宋体"/>
                <w:color w:val="000000"/>
                <w:szCs w:val="21"/>
              </w:rPr>
              <w:t>100</w:t>
            </w:r>
            <w:r>
              <w:rPr>
                <w:rFonts w:ascii="宋体" w:hAnsi="宋体" w:hint="eastAsia"/>
                <w:color w:val="000000"/>
                <w:szCs w:val="21"/>
              </w:rPr>
              <w:t>万元以上专用设备</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141.03</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141.03</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Chars="1000" w:firstLine="2100"/>
              <w:jc w:val="left"/>
              <w:rPr>
                <w:rFonts w:ascii="宋体"/>
                <w:szCs w:val="21"/>
              </w:rPr>
            </w:pPr>
            <w:r>
              <w:rPr>
                <w:rFonts w:ascii="宋体" w:hAnsi="宋体"/>
                <w:color w:val="000000"/>
                <w:szCs w:val="21"/>
              </w:rPr>
              <w:t xml:space="preserve">4. </w:t>
            </w:r>
            <w:r>
              <w:rPr>
                <w:rFonts w:ascii="宋体" w:hAnsi="宋体" w:hint="eastAsia"/>
                <w:color w:val="000000"/>
                <w:szCs w:val="21"/>
              </w:rPr>
              <w:t>其他固定资产</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szCs w:val="21"/>
              </w:rPr>
              <w:t>3,102.13</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3,864.50</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减：累计折旧及减值准备</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（三）长期投资</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13.00</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13.00</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（四）在建工程</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（五）无形资产</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减：累计摊销</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color w:val="000000"/>
                <w:szCs w:val="21"/>
              </w:rPr>
              <w:t xml:space="preserve">       </w:t>
            </w:r>
            <w:r>
              <w:rPr>
                <w:rFonts w:ascii="宋体" w:hAnsi="宋体" w:hint="eastAsia"/>
                <w:color w:val="000000"/>
                <w:szCs w:val="21"/>
              </w:rPr>
              <w:t>（六）其他资产</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A4432">
            <w:pPr>
              <w:ind w:left="0" w:firstLine="0"/>
              <w:jc w:val="right"/>
              <w:rPr>
                <w:rFonts w:ascii="宋体"/>
                <w:szCs w:val="21"/>
              </w:rPr>
            </w:pP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b/>
                <w:color w:val="000000"/>
                <w:szCs w:val="21"/>
              </w:rPr>
              <w:t>二、负债合计</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20,914.58</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21,505.75</w:t>
            </w:r>
          </w:p>
        </w:tc>
      </w:tr>
      <w:tr w:rsidR="00EA4432">
        <w:trPr>
          <w:trHeight w:hRule="exact" w:val="510"/>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left"/>
              <w:rPr>
                <w:rFonts w:ascii="宋体"/>
                <w:szCs w:val="21"/>
              </w:rPr>
            </w:pPr>
            <w:r>
              <w:rPr>
                <w:rFonts w:ascii="宋体" w:hAnsi="宋体" w:hint="eastAsia"/>
                <w:b/>
                <w:color w:val="000000"/>
                <w:szCs w:val="21"/>
              </w:rPr>
              <w:t>三、净资产合计</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szCs w:val="21"/>
              </w:rPr>
            </w:pPr>
            <w:r>
              <w:rPr>
                <w:rFonts w:ascii="宋体" w:hAnsi="宋体"/>
                <w:color w:val="000000"/>
                <w:szCs w:val="21"/>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1,179.57</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4432" w:rsidRDefault="00E51AEC">
            <w:pPr>
              <w:ind w:left="0" w:firstLine="0"/>
              <w:jc w:val="right"/>
              <w:rPr>
                <w:rFonts w:ascii="宋体" w:hAnsi="宋体"/>
                <w:szCs w:val="21"/>
              </w:rPr>
            </w:pPr>
            <w:r>
              <w:rPr>
                <w:rFonts w:ascii="宋体" w:hAnsi="宋体"/>
                <w:szCs w:val="21"/>
              </w:rPr>
              <w:t>726.88</w:t>
            </w:r>
          </w:p>
        </w:tc>
      </w:tr>
    </w:tbl>
    <w:p w:rsidR="00EA4432" w:rsidRDefault="00EA4432">
      <w:pPr>
        <w:ind w:left="0" w:firstLine="0"/>
        <w:jc w:val="left"/>
      </w:pPr>
    </w:p>
    <w:p w:rsidR="00EA4432" w:rsidRDefault="00E51AEC">
      <w:r>
        <w:br w:type="page"/>
      </w:r>
    </w:p>
    <w:p w:rsidR="00EA4432" w:rsidRDefault="00EA4432">
      <w:pPr>
        <w:ind w:left="0" w:firstLineChars="200" w:firstLine="420"/>
        <w:jc w:val="center"/>
      </w:pPr>
    </w:p>
    <w:p w:rsidR="00EA4432" w:rsidRDefault="00E51AEC">
      <w:pPr>
        <w:ind w:left="0" w:firstLineChars="200" w:firstLine="600"/>
        <w:jc w:val="center"/>
      </w:pPr>
      <w:r>
        <w:rPr>
          <w:rFonts w:ascii="黑体" w:eastAsia="黑体" w:hAnsi="宋体" w:hint="eastAsia"/>
          <w:color w:val="000000"/>
          <w:sz w:val="30"/>
        </w:rPr>
        <w:t>第三部分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刘海粟美术馆</w:t>
      </w:r>
      <w:r>
        <w:rPr>
          <w:rFonts w:ascii="黑体" w:eastAsia="黑体" w:hAnsi="宋体"/>
          <w:color w:val="000000"/>
          <w:sz w:val="30"/>
        </w:rPr>
        <w:t>2018</w:t>
      </w:r>
      <w:r>
        <w:rPr>
          <w:rFonts w:ascii="黑体" w:eastAsia="黑体" w:hAnsi="宋体" w:hint="eastAsia"/>
          <w:color w:val="000000"/>
          <w:sz w:val="30"/>
        </w:rPr>
        <w:t>年度部门决算情况说明</w:t>
      </w:r>
    </w:p>
    <w:p w:rsidR="00EA4432" w:rsidRDefault="00EA4432">
      <w:pPr>
        <w:ind w:left="0" w:firstLineChars="200" w:firstLine="420"/>
        <w:jc w:val="center"/>
      </w:pP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一、关于刘海粟美术馆</w:t>
      </w:r>
      <w:r>
        <w:rPr>
          <w:rFonts w:ascii="楷体" w:eastAsia="楷体" w:hAnsi="楷体"/>
          <w:b/>
          <w:color w:val="000000"/>
          <w:sz w:val="30"/>
          <w:szCs w:val="30"/>
        </w:rPr>
        <w:t xml:space="preserve"> 2018 </w:t>
      </w:r>
      <w:r>
        <w:rPr>
          <w:rFonts w:ascii="楷体" w:eastAsia="楷体" w:hAnsi="楷体" w:hint="eastAsia"/>
          <w:b/>
          <w:color w:val="000000"/>
          <w:sz w:val="30"/>
          <w:szCs w:val="30"/>
        </w:rPr>
        <w:t>年度收入支出决算总体情况说明</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2018</w:t>
      </w:r>
      <w:r>
        <w:rPr>
          <w:rFonts w:ascii="仿宋" w:eastAsia="仿宋" w:hAnsi="仿宋" w:hint="eastAsia"/>
          <w:color w:val="000000"/>
          <w:sz w:val="30"/>
        </w:rPr>
        <w:t>年度收入总计为</w:t>
      </w:r>
      <w:r>
        <w:rPr>
          <w:rFonts w:ascii="仿宋" w:eastAsia="仿宋" w:hAnsi="仿宋"/>
          <w:color w:val="000000"/>
          <w:sz w:val="30"/>
        </w:rPr>
        <w:t>5,230.19</w:t>
      </w:r>
      <w:r>
        <w:rPr>
          <w:rFonts w:ascii="仿宋" w:eastAsia="仿宋" w:hAnsi="仿宋" w:hint="eastAsia"/>
          <w:color w:val="000000"/>
          <w:sz w:val="30"/>
        </w:rPr>
        <w:t>万元、支出总计为</w:t>
      </w:r>
      <w:r>
        <w:rPr>
          <w:rFonts w:ascii="仿宋" w:eastAsia="仿宋" w:hAnsi="仿宋"/>
          <w:color w:val="000000"/>
          <w:sz w:val="30"/>
        </w:rPr>
        <w:t>5,230.19</w:t>
      </w:r>
      <w:r>
        <w:rPr>
          <w:rFonts w:ascii="仿宋" w:eastAsia="仿宋" w:hAnsi="仿宋" w:hint="eastAsia"/>
          <w:color w:val="000000"/>
          <w:sz w:val="30"/>
        </w:rPr>
        <w:t>万元。与</w:t>
      </w:r>
      <w:r>
        <w:rPr>
          <w:rFonts w:ascii="仿宋" w:eastAsia="仿宋" w:hAnsi="仿宋"/>
          <w:color w:val="000000"/>
          <w:sz w:val="30"/>
        </w:rPr>
        <w:t>2017</w:t>
      </w:r>
      <w:r>
        <w:rPr>
          <w:rFonts w:ascii="仿宋" w:eastAsia="仿宋" w:hAnsi="仿宋" w:hint="eastAsia"/>
          <w:color w:val="000000"/>
          <w:sz w:val="30"/>
        </w:rPr>
        <w:t>年度相比，收入、支出总计各减少</w:t>
      </w:r>
      <w:r>
        <w:rPr>
          <w:rFonts w:ascii="仿宋" w:eastAsia="仿宋" w:hAnsi="仿宋"/>
          <w:color w:val="000000"/>
          <w:sz w:val="30"/>
        </w:rPr>
        <w:t>244.39</w:t>
      </w:r>
      <w:r>
        <w:rPr>
          <w:rFonts w:ascii="仿宋" w:eastAsia="仿宋" w:hAnsi="仿宋" w:hint="eastAsia"/>
          <w:color w:val="000000"/>
          <w:sz w:val="30"/>
        </w:rPr>
        <w:t>万元。主要原因：</w:t>
      </w:r>
      <w:r>
        <w:rPr>
          <w:rFonts w:ascii="仿宋" w:eastAsia="仿宋" w:hAnsi="仿宋"/>
          <w:color w:val="000000"/>
          <w:sz w:val="30"/>
        </w:rPr>
        <w:t>2018</w:t>
      </w:r>
      <w:r>
        <w:rPr>
          <w:rFonts w:ascii="仿宋" w:eastAsia="仿宋" w:hAnsi="仿宋" w:hint="eastAsia"/>
          <w:color w:val="000000"/>
          <w:sz w:val="30"/>
        </w:rPr>
        <w:t>年度用于信息化项目费用支出减少、新馆开馆、布展经费支出减少。</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二、关于刘海粟美术馆</w:t>
      </w:r>
      <w:r>
        <w:rPr>
          <w:rFonts w:ascii="楷体" w:eastAsia="楷体" w:hAnsi="楷体"/>
          <w:b/>
          <w:color w:val="000000"/>
          <w:sz w:val="30"/>
          <w:szCs w:val="30"/>
        </w:rPr>
        <w:t xml:space="preserve"> 2018 </w:t>
      </w:r>
      <w:r>
        <w:rPr>
          <w:rFonts w:ascii="楷体" w:eastAsia="楷体" w:hAnsi="楷体" w:hint="eastAsia"/>
          <w:b/>
          <w:color w:val="000000"/>
          <w:sz w:val="30"/>
          <w:szCs w:val="30"/>
        </w:rPr>
        <w:t>年度收入决算情况说明</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本年收入合计</w:t>
      </w:r>
      <w:r>
        <w:rPr>
          <w:rFonts w:ascii="仿宋" w:eastAsia="仿宋" w:hAnsi="仿宋"/>
          <w:color w:val="000000"/>
          <w:sz w:val="30"/>
        </w:rPr>
        <w:t>4,868.20</w:t>
      </w:r>
      <w:r>
        <w:rPr>
          <w:rFonts w:ascii="仿宋" w:eastAsia="仿宋" w:hAnsi="仿宋" w:hint="eastAsia"/>
          <w:color w:val="000000"/>
          <w:sz w:val="30"/>
        </w:rPr>
        <w:t>万元，其中：财政拨款收入</w:t>
      </w:r>
      <w:r>
        <w:rPr>
          <w:rFonts w:ascii="仿宋" w:eastAsia="仿宋" w:hAnsi="仿宋"/>
          <w:color w:val="000000"/>
          <w:sz w:val="30"/>
        </w:rPr>
        <w:t>4,557.15</w:t>
      </w:r>
      <w:r>
        <w:rPr>
          <w:rFonts w:ascii="仿宋" w:eastAsia="仿宋" w:hAnsi="仿宋" w:hint="eastAsia"/>
          <w:color w:val="000000"/>
          <w:sz w:val="30"/>
        </w:rPr>
        <w:t>万元，占</w:t>
      </w:r>
      <w:r>
        <w:rPr>
          <w:rFonts w:ascii="仿宋" w:eastAsia="仿宋" w:hAnsi="仿宋"/>
          <w:color w:val="000000"/>
          <w:sz w:val="30"/>
        </w:rPr>
        <w:t>93.61%</w:t>
      </w:r>
      <w:r>
        <w:rPr>
          <w:rFonts w:ascii="仿宋" w:eastAsia="仿宋" w:hAnsi="仿宋" w:hint="eastAsia"/>
          <w:color w:val="000000"/>
          <w:sz w:val="30"/>
        </w:rPr>
        <w:t>；事业收入</w:t>
      </w:r>
      <w:r>
        <w:rPr>
          <w:rFonts w:ascii="仿宋" w:eastAsia="仿宋" w:hAnsi="仿宋"/>
          <w:color w:val="000000"/>
          <w:sz w:val="30"/>
        </w:rPr>
        <w:t>305.46</w:t>
      </w:r>
      <w:r>
        <w:rPr>
          <w:rFonts w:ascii="仿宋" w:eastAsia="仿宋" w:hAnsi="仿宋" w:hint="eastAsia"/>
          <w:color w:val="000000"/>
          <w:sz w:val="30"/>
        </w:rPr>
        <w:t>万元，占</w:t>
      </w:r>
      <w:r>
        <w:rPr>
          <w:rFonts w:ascii="仿宋" w:eastAsia="仿宋" w:hAnsi="仿宋"/>
          <w:color w:val="000000"/>
          <w:sz w:val="30"/>
        </w:rPr>
        <w:t>6.27%</w:t>
      </w:r>
      <w:r>
        <w:rPr>
          <w:rFonts w:ascii="仿宋" w:eastAsia="仿宋" w:hAnsi="仿宋" w:hint="eastAsia"/>
          <w:color w:val="000000"/>
          <w:sz w:val="30"/>
        </w:rPr>
        <w:t>；其他收入</w:t>
      </w:r>
      <w:r>
        <w:rPr>
          <w:rFonts w:ascii="仿宋" w:eastAsia="仿宋" w:hAnsi="仿宋"/>
          <w:color w:val="000000"/>
          <w:sz w:val="30"/>
        </w:rPr>
        <w:t>5.59</w:t>
      </w:r>
      <w:r>
        <w:rPr>
          <w:rFonts w:ascii="仿宋" w:eastAsia="仿宋" w:hAnsi="仿宋" w:hint="eastAsia"/>
          <w:color w:val="000000"/>
          <w:sz w:val="30"/>
        </w:rPr>
        <w:t>万元，占</w:t>
      </w:r>
      <w:r>
        <w:rPr>
          <w:rFonts w:ascii="仿宋" w:eastAsia="仿宋" w:hAnsi="仿宋"/>
          <w:color w:val="000000"/>
          <w:sz w:val="30"/>
        </w:rPr>
        <w:t>0.12%</w:t>
      </w:r>
      <w:r>
        <w:rPr>
          <w:rFonts w:ascii="仿宋" w:eastAsia="仿宋" w:hAnsi="仿宋" w:hint="eastAsia"/>
          <w:color w:val="000000"/>
          <w:sz w:val="30"/>
        </w:rPr>
        <w:t>。</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三、关于刘海粟美术馆</w:t>
      </w:r>
      <w:r>
        <w:rPr>
          <w:rFonts w:ascii="楷体" w:eastAsia="楷体" w:hAnsi="楷体"/>
          <w:b/>
          <w:color w:val="000000"/>
          <w:sz w:val="30"/>
          <w:szCs w:val="30"/>
        </w:rPr>
        <w:t xml:space="preserve"> 2018 </w:t>
      </w:r>
      <w:r>
        <w:rPr>
          <w:rFonts w:ascii="楷体" w:eastAsia="楷体" w:hAnsi="楷体" w:hint="eastAsia"/>
          <w:b/>
          <w:color w:val="000000"/>
          <w:sz w:val="30"/>
          <w:szCs w:val="30"/>
        </w:rPr>
        <w:t>年度支出决算情况说明</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本年支出合计</w:t>
      </w:r>
      <w:r>
        <w:rPr>
          <w:rFonts w:ascii="仿宋" w:eastAsia="仿宋" w:hAnsi="仿宋"/>
          <w:color w:val="000000"/>
          <w:sz w:val="30"/>
        </w:rPr>
        <w:t>4,894.95</w:t>
      </w:r>
      <w:r>
        <w:rPr>
          <w:rFonts w:ascii="仿宋" w:eastAsia="仿宋" w:hAnsi="仿宋" w:hint="eastAsia"/>
          <w:color w:val="000000"/>
          <w:sz w:val="30"/>
        </w:rPr>
        <w:t>万元，其中：基本支出</w:t>
      </w:r>
      <w:r>
        <w:rPr>
          <w:rFonts w:ascii="仿宋" w:eastAsia="仿宋" w:hAnsi="仿宋"/>
          <w:color w:val="000000"/>
          <w:sz w:val="30"/>
        </w:rPr>
        <w:t>1,004.67</w:t>
      </w:r>
      <w:r>
        <w:rPr>
          <w:rFonts w:ascii="仿宋" w:eastAsia="仿宋" w:hAnsi="仿宋" w:hint="eastAsia"/>
          <w:color w:val="000000"/>
          <w:sz w:val="30"/>
        </w:rPr>
        <w:t>万元，占</w:t>
      </w:r>
      <w:r>
        <w:rPr>
          <w:rFonts w:ascii="仿宋" w:eastAsia="仿宋" w:hAnsi="仿宋"/>
          <w:color w:val="000000"/>
          <w:sz w:val="30"/>
        </w:rPr>
        <w:t>20.52%</w:t>
      </w:r>
      <w:r>
        <w:rPr>
          <w:rFonts w:ascii="仿宋" w:eastAsia="仿宋" w:hAnsi="仿宋" w:hint="eastAsia"/>
          <w:color w:val="000000"/>
          <w:sz w:val="30"/>
        </w:rPr>
        <w:t>；项目支出</w:t>
      </w:r>
      <w:r>
        <w:rPr>
          <w:rFonts w:ascii="仿宋" w:eastAsia="仿宋" w:hAnsi="仿宋"/>
          <w:color w:val="000000"/>
          <w:sz w:val="30"/>
        </w:rPr>
        <w:t>3,890.28</w:t>
      </w:r>
      <w:r>
        <w:rPr>
          <w:rFonts w:ascii="仿宋" w:eastAsia="仿宋" w:hAnsi="仿宋" w:hint="eastAsia"/>
          <w:color w:val="000000"/>
          <w:sz w:val="30"/>
        </w:rPr>
        <w:t>万元，占</w:t>
      </w:r>
      <w:r>
        <w:rPr>
          <w:rFonts w:ascii="仿宋" w:eastAsia="仿宋" w:hAnsi="仿宋"/>
          <w:color w:val="000000"/>
          <w:sz w:val="30"/>
        </w:rPr>
        <w:t>79.48%</w:t>
      </w:r>
      <w:r>
        <w:rPr>
          <w:rFonts w:ascii="仿宋" w:eastAsia="仿宋" w:hAnsi="仿宋" w:hint="eastAsia"/>
          <w:color w:val="000000"/>
          <w:sz w:val="30"/>
        </w:rPr>
        <w:t>。</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四、关于刘海粟美术馆</w:t>
      </w:r>
      <w:r>
        <w:rPr>
          <w:rFonts w:ascii="楷体" w:eastAsia="楷体" w:hAnsi="楷体"/>
          <w:b/>
          <w:color w:val="000000"/>
          <w:sz w:val="30"/>
          <w:szCs w:val="30"/>
        </w:rPr>
        <w:t xml:space="preserve"> 2018 </w:t>
      </w:r>
      <w:r>
        <w:rPr>
          <w:rFonts w:ascii="楷体" w:eastAsia="楷体" w:hAnsi="楷体" w:hint="eastAsia"/>
          <w:b/>
          <w:color w:val="000000"/>
          <w:sz w:val="30"/>
          <w:szCs w:val="30"/>
        </w:rPr>
        <w:t>年度财政拨款收入支出总体情况说明</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2018</w:t>
      </w:r>
      <w:r>
        <w:rPr>
          <w:rFonts w:ascii="仿宋" w:eastAsia="仿宋" w:hAnsi="仿宋" w:hint="eastAsia"/>
          <w:color w:val="000000"/>
          <w:sz w:val="30"/>
        </w:rPr>
        <w:t>年度财政拨款收支总决算</w:t>
      </w:r>
      <w:r>
        <w:rPr>
          <w:rFonts w:ascii="仿宋" w:eastAsia="仿宋" w:hAnsi="仿宋"/>
          <w:color w:val="000000"/>
          <w:sz w:val="30"/>
        </w:rPr>
        <w:t>4,744.30</w:t>
      </w:r>
      <w:r>
        <w:rPr>
          <w:rFonts w:ascii="仿宋" w:eastAsia="仿宋" w:hAnsi="仿宋" w:hint="eastAsia"/>
          <w:color w:val="000000"/>
          <w:sz w:val="30"/>
        </w:rPr>
        <w:t>万元。与</w:t>
      </w:r>
      <w:r>
        <w:rPr>
          <w:rFonts w:ascii="仿宋" w:eastAsia="仿宋" w:hAnsi="仿宋"/>
          <w:color w:val="000000"/>
          <w:sz w:val="30"/>
        </w:rPr>
        <w:t>2017</w:t>
      </w:r>
      <w:r>
        <w:rPr>
          <w:rFonts w:ascii="仿宋" w:eastAsia="仿宋" w:hAnsi="仿宋" w:hint="eastAsia"/>
          <w:color w:val="000000"/>
          <w:sz w:val="30"/>
        </w:rPr>
        <w:t>年度相比，财政拨款收、支总计各增加</w:t>
      </w:r>
      <w:r>
        <w:rPr>
          <w:rFonts w:ascii="仿宋" w:eastAsia="仿宋" w:hAnsi="仿宋"/>
          <w:color w:val="000000"/>
          <w:sz w:val="30"/>
        </w:rPr>
        <w:t>1,823.99</w:t>
      </w:r>
      <w:r>
        <w:rPr>
          <w:rFonts w:ascii="仿宋" w:eastAsia="仿宋" w:hAnsi="仿宋" w:hint="eastAsia"/>
          <w:color w:val="000000"/>
          <w:sz w:val="30"/>
        </w:rPr>
        <w:t>万元，增长</w:t>
      </w:r>
      <w:r>
        <w:rPr>
          <w:rFonts w:ascii="仿宋" w:eastAsia="仿宋" w:hAnsi="仿宋"/>
          <w:color w:val="000000"/>
          <w:sz w:val="30"/>
        </w:rPr>
        <w:t>62.46%</w:t>
      </w:r>
      <w:r>
        <w:rPr>
          <w:rFonts w:ascii="仿宋" w:eastAsia="仿宋" w:hAnsi="仿宋" w:hint="eastAsia"/>
          <w:color w:val="000000"/>
          <w:sz w:val="30"/>
        </w:rPr>
        <w:t>。主要原因：</w:t>
      </w:r>
      <w:r>
        <w:rPr>
          <w:rFonts w:ascii="仿宋" w:eastAsia="仿宋" w:hAnsi="仿宋"/>
          <w:color w:val="000000"/>
          <w:sz w:val="30"/>
        </w:rPr>
        <w:t>2018</w:t>
      </w:r>
      <w:r>
        <w:rPr>
          <w:rFonts w:ascii="仿宋" w:eastAsia="仿宋" w:hAnsi="仿宋" w:hint="eastAsia"/>
          <w:color w:val="000000"/>
          <w:sz w:val="30"/>
        </w:rPr>
        <w:t>年度用于新馆基本建设项目费用增加、增加“</w:t>
      </w:r>
      <w:r>
        <w:rPr>
          <w:rFonts w:ascii="仿宋" w:eastAsia="仿宋" w:hAnsi="仿宋"/>
          <w:color w:val="000000"/>
          <w:sz w:val="30"/>
        </w:rPr>
        <w:t>1+16</w:t>
      </w:r>
      <w:r>
        <w:rPr>
          <w:rFonts w:ascii="仿宋" w:eastAsia="仿宋" w:hAnsi="仿宋" w:hint="eastAsia"/>
          <w:color w:val="000000"/>
          <w:sz w:val="30"/>
        </w:rPr>
        <w:t>市民共享计划”专项款。</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五、关于刘海粟美术馆</w:t>
      </w:r>
      <w:r>
        <w:rPr>
          <w:rFonts w:ascii="楷体" w:eastAsia="楷体" w:hAnsi="楷体"/>
          <w:b/>
          <w:color w:val="000000"/>
          <w:sz w:val="30"/>
          <w:szCs w:val="30"/>
        </w:rPr>
        <w:t xml:space="preserve"> 2018 </w:t>
      </w:r>
      <w:r>
        <w:rPr>
          <w:rFonts w:ascii="楷体" w:eastAsia="楷体" w:hAnsi="楷体" w:hint="eastAsia"/>
          <w:b/>
          <w:color w:val="000000"/>
          <w:sz w:val="30"/>
          <w:szCs w:val="30"/>
        </w:rPr>
        <w:t>年度一般公共预算财政拨款</w:t>
      </w:r>
      <w:r>
        <w:rPr>
          <w:rFonts w:ascii="楷体" w:eastAsia="楷体" w:hAnsi="楷体" w:hint="eastAsia"/>
          <w:b/>
          <w:color w:val="000000"/>
          <w:sz w:val="30"/>
          <w:szCs w:val="30"/>
        </w:rPr>
        <w:lastRenderedPageBreak/>
        <w:t>支出决算情况说明</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（一）一般公共预算财政拨款支出决算总体情况</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2018</w:t>
      </w:r>
      <w:r>
        <w:rPr>
          <w:rFonts w:ascii="仿宋" w:eastAsia="仿宋" w:hAnsi="仿宋" w:hint="eastAsia"/>
          <w:color w:val="000000"/>
          <w:sz w:val="30"/>
        </w:rPr>
        <w:t>年度一般公共预算财政拨款支出</w:t>
      </w:r>
      <w:r>
        <w:rPr>
          <w:rFonts w:ascii="仿宋" w:eastAsia="仿宋" w:hAnsi="仿宋"/>
          <w:color w:val="000000"/>
          <w:sz w:val="30"/>
        </w:rPr>
        <w:t>4,641.82</w:t>
      </w:r>
      <w:r>
        <w:rPr>
          <w:rFonts w:ascii="仿宋" w:eastAsia="仿宋" w:hAnsi="仿宋" w:hint="eastAsia"/>
          <w:color w:val="000000"/>
          <w:sz w:val="30"/>
        </w:rPr>
        <w:t>万元，占本年支出合计的</w:t>
      </w:r>
      <w:r>
        <w:rPr>
          <w:rFonts w:ascii="仿宋" w:eastAsia="仿宋" w:hAnsi="仿宋"/>
          <w:color w:val="000000"/>
          <w:sz w:val="30"/>
        </w:rPr>
        <w:t>94.83%</w:t>
      </w:r>
      <w:r>
        <w:rPr>
          <w:rFonts w:ascii="仿宋" w:eastAsia="仿宋" w:hAnsi="仿宋" w:hint="eastAsia"/>
          <w:color w:val="000000"/>
          <w:sz w:val="30"/>
        </w:rPr>
        <w:t>。与</w:t>
      </w:r>
      <w:r>
        <w:rPr>
          <w:rFonts w:ascii="仿宋" w:eastAsia="仿宋" w:hAnsi="仿宋"/>
          <w:color w:val="000000"/>
          <w:sz w:val="30"/>
        </w:rPr>
        <w:t>2017</w:t>
      </w:r>
      <w:r>
        <w:rPr>
          <w:rFonts w:ascii="仿宋" w:eastAsia="仿宋" w:hAnsi="仿宋" w:hint="eastAsia"/>
          <w:color w:val="000000"/>
          <w:sz w:val="30"/>
        </w:rPr>
        <w:t>年度相比，一般公共预算财政拨款支出增加</w:t>
      </w:r>
      <w:r>
        <w:rPr>
          <w:rFonts w:ascii="仿宋" w:eastAsia="仿宋" w:hAnsi="仿宋"/>
          <w:color w:val="000000"/>
          <w:sz w:val="30"/>
        </w:rPr>
        <w:t>1,908.66</w:t>
      </w:r>
      <w:r>
        <w:rPr>
          <w:rFonts w:ascii="仿宋" w:eastAsia="仿宋" w:hAnsi="仿宋" w:hint="eastAsia"/>
          <w:color w:val="000000"/>
          <w:sz w:val="30"/>
        </w:rPr>
        <w:t>万元，增长</w:t>
      </w:r>
      <w:r>
        <w:rPr>
          <w:rFonts w:ascii="仿宋" w:eastAsia="仿宋" w:hAnsi="仿宋"/>
          <w:color w:val="000000"/>
          <w:sz w:val="30"/>
        </w:rPr>
        <w:t>69.83%</w:t>
      </w:r>
      <w:r>
        <w:rPr>
          <w:rFonts w:ascii="仿宋" w:eastAsia="仿宋" w:hAnsi="仿宋" w:hint="eastAsia"/>
          <w:color w:val="000000"/>
          <w:sz w:val="30"/>
        </w:rPr>
        <w:t>。主要原因用于新馆基本建设项目费用增加、增加“</w:t>
      </w:r>
      <w:r>
        <w:rPr>
          <w:rFonts w:ascii="仿宋" w:eastAsia="仿宋" w:hAnsi="仿宋"/>
          <w:color w:val="000000"/>
          <w:sz w:val="30"/>
        </w:rPr>
        <w:t>1+16</w:t>
      </w:r>
      <w:r>
        <w:rPr>
          <w:rFonts w:ascii="仿宋" w:eastAsia="仿宋" w:hAnsi="仿宋" w:hint="eastAsia"/>
          <w:color w:val="000000"/>
          <w:sz w:val="30"/>
        </w:rPr>
        <w:t>市民共享计划”专项款。</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（二）一般公共预算财政拨款支出决算结构情况</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2018 </w:t>
      </w:r>
      <w:r>
        <w:rPr>
          <w:rFonts w:ascii="仿宋" w:eastAsia="仿宋" w:hAnsi="仿宋" w:hint="eastAsia"/>
          <w:color w:val="000000"/>
          <w:sz w:val="30"/>
        </w:rPr>
        <w:t>年度一般公共预算财政拨款支出</w:t>
      </w:r>
      <w:r>
        <w:rPr>
          <w:rFonts w:ascii="仿宋" w:eastAsia="仿宋" w:hAnsi="仿宋"/>
          <w:color w:val="000000"/>
          <w:sz w:val="30"/>
        </w:rPr>
        <w:t>4,641.82</w:t>
      </w:r>
      <w:r>
        <w:rPr>
          <w:rFonts w:ascii="仿宋" w:eastAsia="仿宋" w:hAnsi="仿宋" w:hint="eastAsia"/>
          <w:color w:val="000000"/>
          <w:sz w:val="30"/>
        </w:rPr>
        <w:t>元，主要用于以下方面：文化体育与传媒支出（类）</w:t>
      </w:r>
      <w:r>
        <w:rPr>
          <w:rFonts w:ascii="仿宋" w:eastAsia="仿宋" w:hAnsi="仿宋"/>
          <w:color w:val="000000"/>
          <w:sz w:val="30"/>
        </w:rPr>
        <w:t>4,449.45</w:t>
      </w:r>
      <w:r>
        <w:rPr>
          <w:rFonts w:ascii="仿宋" w:eastAsia="仿宋" w:hAnsi="仿宋" w:hint="eastAsia"/>
          <w:color w:val="000000"/>
          <w:sz w:val="30"/>
        </w:rPr>
        <w:t>万元，占</w:t>
      </w:r>
      <w:r>
        <w:rPr>
          <w:rFonts w:ascii="仿宋" w:eastAsia="仿宋" w:hAnsi="仿宋"/>
          <w:color w:val="000000"/>
          <w:sz w:val="30"/>
        </w:rPr>
        <w:t>95.86%</w:t>
      </w:r>
      <w:r>
        <w:rPr>
          <w:rFonts w:ascii="仿宋" w:eastAsia="仿宋" w:hAnsi="仿宋" w:hint="eastAsia"/>
          <w:color w:val="000000"/>
          <w:sz w:val="30"/>
        </w:rPr>
        <w:t>；社会保障和就业支出（类）</w:t>
      </w:r>
      <w:r>
        <w:rPr>
          <w:rFonts w:ascii="仿宋" w:eastAsia="仿宋" w:hAnsi="仿宋"/>
          <w:color w:val="000000"/>
          <w:sz w:val="30"/>
        </w:rPr>
        <w:t>121.06</w:t>
      </w:r>
      <w:r>
        <w:rPr>
          <w:rFonts w:ascii="仿宋" w:eastAsia="仿宋" w:hAnsi="仿宋" w:hint="eastAsia"/>
          <w:color w:val="000000"/>
          <w:sz w:val="30"/>
        </w:rPr>
        <w:t>万元，占</w:t>
      </w:r>
      <w:r>
        <w:rPr>
          <w:rFonts w:ascii="仿宋" w:eastAsia="仿宋" w:hAnsi="仿宋"/>
          <w:color w:val="000000"/>
          <w:sz w:val="30"/>
        </w:rPr>
        <w:t>2.61%</w:t>
      </w:r>
      <w:r>
        <w:rPr>
          <w:rFonts w:ascii="仿宋" w:eastAsia="仿宋" w:hAnsi="仿宋" w:hint="eastAsia"/>
          <w:color w:val="000000"/>
          <w:sz w:val="30"/>
        </w:rPr>
        <w:t>；医疗卫生与计划生育支出（类）</w:t>
      </w:r>
      <w:r>
        <w:rPr>
          <w:rFonts w:ascii="仿宋" w:eastAsia="仿宋" w:hAnsi="仿宋"/>
          <w:color w:val="000000"/>
          <w:sz w:val="30"/>
        </w:rPr>
        <w:t>40.81</w:t>
      </w:r>
      <w:r>
        <w:rPr>
          <w:rFonts w:ascii="仿宋" w:eastAsia="仿宋" w:hAnsi="仿宋" w:hint="eastAsia"/>
          <w:color w:val="000000"/>
          <w:sz w:val="30"/>
        </w:rPr>
        <w:t>万元，占</w:t>
      </w:r>
      <w:r>
        <w:rPr>
          <w:rFonts w:ascii="仿宋" w:eastAsia="仿宋" w:hAnsi="仿宋"/>
          <w:color w:val="000000"/>
          <w:sz w:val="30"/>
        </w:rPr>
        <w:t>0.88%</w:t>
      </w:r>
      <w:r>
        <w:rPr>
          <w:rFonts w:ascii="仿宋" w:eastAsia="仿宋" w:hAnsi="仿宋" w:hint="eastAsia"/>
          <w:color w:val="000000"/>
          <w:sz w:val="30"/>
        </w:rPr>
        <w:t>；住房保障支出（类）</w:t>
      </w:r>
      <w:r>
        <w:rPr>
          <w:rFonts w:ascii="仿宋" w:eastAsia="仿宋" w:hAnsi="仿宋"/>
          <w:color w:val="000000"/>
          <w:sz w:val="30"/>
        </w:rPr>
        <w:t>30.50</w:t>
      </w:r>
      <w:r>
        <w:rPr>
          <w:rFonts w:ascii="仿宋" w:eastAsia="仿宋" w:hAnsi="仿宋" w:hint="eastAsia"/>
          <w:color w:val="000000"/>
          <w:sz w:val="30"/>
        </w:rPr>
        <w:t>万元，占</w:t>
      </w:r>
      <w:r>
        <w:rPr>
          <w:rFonts w:ascii="仿宋" w:eastAsia="仿宋" w:hAnsi="仿宋"/>
          <w:color w:val="000000"/>
          <w:sz w:val="30"/>
        </w:rPr>
        <w:t>0.65%</w:t>
      </w:r>
      <w:r>
        <w:rPr>
          <w:rFonts w:ascii="仿宋" w:eastAsia="仿宋" w:hAnsi="仿宋" w:hint="eastAsia"/>
          <w:color w:val="000000"/>
          <w:sz w:val="30"/>
        </w:rPr>
        <w:t>。</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（三）一般公共预算财政拨款支出决算具体情况</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 2018 </w:t>
      </w:r>
      <w:r>
        <w:rPr>
          <w:rFonts w:ascii="仿宋" w:eastAsia="仿宋" w:hAnsi="仿宋" w:hint="eastAsia"/>
          <w:color w:val="000000"/>
          <w:sz w:val="30"/>
        </w:rPr>
        <w:t>年度一般公共预算财政拨款支出年初预算为</w:t>
      </w:r>
      <w:r>
        <w:rPr>
          <w:rFonts w:ascii="仿宋" w:eastAsia="仿宋" w:hAnsi="仿宋"/>
          <w:color w:val="000000"/>
          <w:sz w:val="30"/>
        </w:rPr>
        <w:t>3,172.09</w:t>
      </w:r>
      <w:r>
        <w:rPr>
          <w:rFonts w:ascii="仿宋" w:eastAsia="仿宋" w:hAnsi="仿宋" w:hint="eastAsia"/>
          <w:color w:val="000000"/>
          <w:sz w:val="30"/>
        </w:rPr>
        <w:t>万元，支出决算为</w:t>
      </w:r>
      <w:r>
        <w:rPr>
          <w:rFonts w:ascii="仿宋" w:eastAsia="仿宋" w:hAnsi="仿宋"/>
          <w:color w:val="000000"/>
          <w:sz w:val="30"/>
        </w:rPr>
        <w:t>4,641.82</w:t>
      </w:r>
      <w:r>
        <w:rPr>
          <w:rFonts w:ascii="仿宋" w:eastAsia="仿宋" w:hAnsi="仿宋" w:hint="eastAsia"/>
          <w:color w:val="000000"/>
          <w:sz w:val="30"/>
        </w:rPr>
        <w:t>万元，完成年初预算的</w:t>
      </w:r>
      <w:r>
        <w:rPr>
          <w:rFonts w:ascii="仿宋" w:eastAsia="仿宋" w:hAnsi="仿宋"/>
          <w:color w:val="000000"/>
          <w:sz w:val="30"/>
        </w:rPr>
        <w:t>146.16%</w:t>
      </w:r>
      <w:r>
        <w:rPr>
          <w:rFonts w:ascii="仿宋" w:eastAsia="仿宋" w:hAnsi="仿宋" w:hint="eastAsia"/>
          <w:color w:val="000000"/>
          <w:sz w:val="30"/>
        </w:rPr>
        <w:t>。决算数大于预算数的主要原因：刘海粟美术馆用于新馆基本建设项目费用增加、增加“</w:t>
      </w:r>
      <w:r>
        <w:rPr>
          <w:rFonts w:ascii="仿宋" w:eastAsia="仿宋" w:hAnsi="仿宋"/>
          <w:color w:val="000000"/>
          <w:sz w:val="30"/>
        </w:rPr>
        <w:t>1+16</w:t>
      </w:r>
      <w:r>
        <w:rPr>
          <w:rFonts w:ascii="仿宋" w:eastAsia="仿宋" w:hAnsi="仿宋" w:hint="eastAsia"/>
          <w:color w:val="000000"/>
          <w:sz w:val="30"/>
        </w:rPr>
        <w:t>市民共享计划”专项款。其中：</w:t>
      </w:r>
    </w:p>
    <w:p w:rsidR="00EA4432" w:rsidRDefault="00E51AEC">
      <w:pPr>
        <w:ind w:left="0" w:firstLineChars="200" w:firstLine="600"/>
        <w:jc w:val="left"/>
        <w:rPr>
          <w:rFonts w:ascii="仿宋" w:eastAsia="仿宋" w:hAnsi="仿宋"/>
        </w:rPr>
      </w:pPr>
      <w:r>
        <w:rPr>
          <w:rFonts w:ascii="仿宋" w:eastAsia="仿宋" w:hAnsi="仿宋"/>
          <w:color w:val="000000"/>
          <w:sz w:val="30"/>
        </w:rPr>
        <w:t>1</w:t>
      </w:r>
      <w:r>
        <w:rPr>
          <w:rFonts w:ascii="仿宋" w:eastAsia="仿宋" w:hAnsi="仿宋" w:hint="eastAsia"/>
          <w:color w:val="000000"/>
          <w:sz w:val="30"/>
        </w:rPr>
        <w:t>、文化体育与传媒支出（类）文化（款）文化展示及纪念机构（项）。主要用于：刘海粟美术馆人员经费、公用经费、展览业务经费、公益性业务活动经费、藏品征集及修复费用、场</w:t>
      </w:r>
      <w:r>
        <w:rPr>
          <w:rFonts w:ascii="仿宋" w:eastAsia="仿宋" w:hAnsi="仿宋" w:hint="eastAsia"/>
          <w:color w:val="000000"/>
          <w:sz w:val="30"/>
        </w:rPr>
        <w:lastRenderedPageBreak/>
        <w:t>馆维护及设备购置费、基本运行费。年初预算为</w:t>
      </w:r>
      <w:r>
        <w:rPr>
          <w:rFonts w:ascii="仿宋" w:eastAsia="仿宋" w:hAnsi="仿宋"/>
          <w:color w:val="000000"/>
          <w:sz w:val="30"/>
        </w:rPr>
        <w:t>2,924.48</w:t>
      </w:r>
      <w:r>
        <w:rPr>
          <w:rFonts w:ascii="仿宋" w:eastAsia="仿宋" w:hAnsi="仿宋" w:hint="eastAsia"/>
          <w:color w:val="000000"/>
          <w:sz w:val="30"/>
        </w:rPr>
        <w:t>万元，支出决算为</w:t>
      </w:r>
      <w:r>
        <w:rPr>
          <w:rFonts w:ascii="仿宋" w:eastAsia="仿宋" w:hAnsi="仿宋"/>
          <w:color w:val="000000"/>
          <w:sz w:val="30"/>
        </w:rPr>
        <w:t>2,769.72</w:t>
      </w:r>
      <w:r>
        <w:rPr>
          <w:rFonts w:ascii="仿宋" w:eastAsia="仿宋" w:hAnsi="仿宋" w:hint="eastAsia"/>
          <w:color w:val="000000"/>
          <w:sz w:val="30"/>
        </w:rPr>
        <w:t>万元。决算数小于预算数的主要原因：预算执行过程中节约部分项目支出经费。</w:t>
      </w:r>
    </w:p>
    <w:p w:rsidR="00EA4432" w:rsidRDefault="00E51AEC">
      <w:pPr>
        <w:ind w:left="0" w:firstLineChars="200" w:firstLine="600"/>
        <w:jc w:val="left"/>
        <w:rPr>
          <w:rFonts w:ascii="仿宋" w:eastAsia="仿宋" w:hAnsi="仿宋"/>
        </w:rPr>
      </w:pPr>
      <w:r>
        <w:rPr>
          <w:rFonts w:ascii="仿宋" w:eastAsia="仿宋" w:hAnsi="仿宋"/>
          <w:color w:val="000000"/>
          <w:sz w:val="30"/>
        </w:rPr>
        <w:t>2</w:t>
      </w:r>
      <w:r>
        <w:rPr>
          <w:rFonts w:ascii="仿宋" w:eastAsia="仿宋" w:hAnsi="仿宋" w:hint="eastAsia"/>
          <w:color w:val="000000"/>
          <w:sz w:val="30"/>
        </w:rPr>
        <w:t>、文化体育与传媒支出（类）其他文化体育与传媒支出（款）其他文化体育与传媒支出（项）。主要用于：刘海粟美术馆基本建设项目。年初预算为</w:t>
      </w:r>
      <w:r>
        <w:rPr>
          <w:rFonts w:ascii="仿宋" w:eastAsia="仿宋" w:hAnsi="仿宋"/>
          <w:color w:val="000000"/>
          <w:sz w:val="30"/>
        </w:rPr>
        <w:t>0.00</w:t>
      </w:r>
      <w:r>
        <w:rPr>
          <w:rFonts w:ascii="仿宋" w:eastAsia="仿宋" w:hAnsi="仿宋" w:hint="eastAsia"/>
          <w:color w:val="000000"/>
          <w:sz w:val="30"/>
        </w:rPr>
        <w:t>万元，支出决算为</w:t>
      </w:r>
      <w:r>
        <w:rPr>
          <w:rFonts w:ascii="仿宋" w:eastAsia="仿宋" w:hAnsi="仿宋"/>
          <w:color w:val="000000"/>
          <w:sz w:val="30"/>
        </w:rPr>
        <w:t>1</w:t>
      </w:r>
      <w:r>
        <w:rPr>
          <w:rFonts w:ascii="仿宋" w:eastAsia="仿宋" w:hAnsi="仿宋" w:hint="eastAsia"/>
          <w:color w:val="000000"/>
          <w:sz w:val="30"/>
        </w:rPr>
        <w:t>，</w:t>
      </w:r>
      <w:r>
        <w:rPr>
          <w:rFonts w:ascii="仿宋" w:eastAsia="仿宋" w:hAnsi="仿宋"/>
          <w:color w:val="000000"/>
          <w:sz w:val="30"/>
        </w:rPr>
        <w:t>679.73</w:t>
      </w:r>
      <w:r>
        <w:rPr>
          <w:rFonts w:ascii="仿宋" w:eastAsia="仿宋" w:hAnsi="仿宋" w:hint="eastAsia"/>
          <w:color w:val="000000"/>
          <w:sz w:val="30"/>
        </w:rPr>
        <w:t>万元。决算数大于预算数的主要原因：刘海粟美术馆用于新馆基本建设项目费用增加。</w:t>
      </w:r>
    </w:p>
    <w:p w:rsidR="00EA4432" w:rsidRDefault="00E51AEC">
      <w:pPr>
        <w:ind w:left="0" w:firstLineChars="200" w:firstLine="600"/>
        <w:jc w:val="left"/>
        <w:rPr>
          <w:rFonts w:ascii="仿宋" w:eastAsia="仿宋" w:hAnsi="仿宋"/>
        </w:rPr>
      </w:pPr>
      <w:r>
        <w:rPr>
          <w:rFonts w:ascii="仿宋" w:eastAsia="仿宋" w:hAnsi="仿宋"/>
          <w:color w:val="000000"/>
          <w:sz w:val="30"/>
        </w:rPr>
        <w:t>3</w:t>
      </w:r>
      <w:r>
        <w:rPr>
          <w:rFonts w:ascii="仿宋" w:eastAsia="仿宋" w:hAnsi="仿宋" w:hint="eastAsia"/>
          <w:color w:val="000000"/>
          <w:sz w:val="30"/>
        </w:rPr>
        <w:t>、社会保障和就业支出（类）行政事业单位离退休（款）事业单位离退休（项）。主要用于：离退休职工费。年初预算为</w:t>
      </w:r>
      <w:r>
        <w:rPr>
          <w:rFonts w:ascii="仿宋" w:eastAsia="仿宋" w:hAnsi="仿宋"/>
          <w:color w:val="000000"/>
          <w:sz w:val="30"/>
        </w:rPr>
        <w:t>9.10</w:t>
      </w:r>
      <w:r>
        <w:rPr>
          <w:rFonts w:ascii="仿宋" w:eastAsia="仿宋" w:hAnsi="仿宋" w:hint="eastAsia"/>
          <w:color w:val="000000"/>
          <w:sz w:val="30"/>
        </w:rPr>
        <w:t>万元，支出决算为</w:t>
      </w:r>
      <w:r>
        <w:rPr>
          <w:rFonts w:ascii="仿宋" w:eastAsia="仿宋" w:hAnsi="仿宋"/>
          <w:color w:val="000000"/>
          <w:sz w:val="30"/>
        </w:rPr>
        <w:t>0.00</w:t>
      </w:r>
      <w:r>
        <w:rPr>
          <w:rFonts w:ascii="仿宋" w:eastAsia="仿宋" w:hAnsi="仿宋" w:hint="eastAsia"/>
          <w:color w:val="000000"/>
          <w:sz w:val="30"/>
        </w:rPr>
        <w:t>万元。决算数小于预算数的主要原因：根据实际项目执行情况调整预算为</w:t>
      </w:r>
      <w:r>
        <w:rPr>
          <w:rFonts w:ascii="仿宋" w:eastAsia="仿宋" w:hAnsi="仿宋"/>
          <w:color w:val="000000"/>
          <w:sz w:val="30"/>
        </w:rPr>
        <w:t>0.00</w:t>
      </w:r>
      <w:r>
        <w:rPr>
          <w:rFonts w:ascii="仿宋" w:eastAsia="仿宋" w:hAnsi="仿宋" w:hint="eastAsia"/>
          <w:color w:val="000000"/>
          <w:sz w:val="30"/>
        </w:rPr>
        <w:t>万元。</w:t>
      </w:r>
    </w:p>
    <w:p w:rsidR="00EA4432" w:rsidRDefault="00E51AEC">
      <w:pPr>
        <w:ind w:left="0" w:firstLineChars="200" w:firstLine="600"/>
        <w:jc w:val="left"/>
        <w:rPr>
          <w:rFonts w:ascii="仿宋" w:eastAsia="仿宋" w:hAnsi="仿宋"/>
        </w:rPr>
      </w:pPr>
      <w:r>
        <w:rPr>
          <w:rFonts w:ascii="仿宋" w:eastAsia="仿宋" w:hAnsi="仿宋"/>
          <w:color w:val="000000"/>
          <w:sz w:val="30"/>
        </w:rPr>
        <w:t>4</w:t>
      </w:r>
      <w:r>
        <w:rPr>
          <w:rFonts w:ascii="仿宋" w:eastAsia="仿宋" w:hAnsi="仿宋" w:hint="eastAsia"/>
          <w:color w:val="000000"/>
          <w:sz w:val="30"/>
        </w:rPr>
        <w:t>、社会保障和就业支出（类）行政事业单位离退休（款）机构事业单位基本养老保险缴费支出（项）。主要用于：职工职基本养老保险缴费。年初预算为</w:t>
      </w:r>
      <w:r>
        <w:rPr>
          <w:rFonts w:ascii="仿宋" w:eastAsia="仿宋" w:hAnsi="仿宋"/>
          <w:color w:val="000000"/>
          <w:sz w:val="30"/>
        </w:rPr>
        <w:t>106.85</w:t>
      </w:r>
      <w:r>
        <w:rPr>
          <w:rFonts w:ascii="仿宋" w:eastAsia="仿宋" w:hAnsi="仿宋" w:hint="eastAsia"/>
          <w:color w:val="000000"/>
          <w:sz w:val="30"/>
        </w:rPr>
        <w:t>万元，支出决算为</w:t>
      </w:r>
      <w:r>
        <w:rPr>
          <w:rFonts w:ascii="仿宋" w:eastAsia="仿宋" w:hAnsi="仿宋"/>
          <w:color w:val="000000"/>
          <w:sz w:val="30"/>
        </w:rPr>
        <w:t>85.92</w:t>
      </w:r>
      <w:r>
        <w:rPr>
          <w:rFonts w:ascii="仿宋" w:eastAsia="仿宋" w:hAnsi="仿宋" w:hint="eastAsia"/>
          <w:color w:val="000000"/>
          <w:sz w:val="30"/>
        </w:rPr>
        <w:t>万元。决算数小于预算数的主要原因：机关养老保险缴费保险费率下降、</w:t>
      </w:r>
      <w:r>
        <w:rPr>
          <w:rFonts w:ascii="仿宋" w:eastAsia="仿宋" w:hAnsi="仿宋"/>
          <w:color w:val="000000"/>
          <w:sz w:val="30"/>
        </w:rPr>
        <w:t>2018</w:t>
      </w:r>
      <w:r>
        <w:rPr>
          <w:rFonts w:ascii="仿宋" w:eastAsia="仿宋" w:hAnsi="仿宋" w:hint="eastAsia"/>
          <w:color w:val="000000"/>
          <w:sz w:val="30"/>
        </w:rPr>
        <w:t>年度计划招聘岗位未完成。</w:t>
      </w:r>
    </w:p>
    <w:p w:rsidR="00EA4432" w:rsidRDefault="00E51AEC">
      <w:pPr>
        <w:ind w:left="0" w:firstLineChars="200" w:firstLine="600"/>
        <w:jc w:val="left"/>
        <w:rPr>
          <w:rFonts w:ascii="仿宋" w:eastAsia="仿宋" w:hAnsi="仿宋"/>
        </w:rPr>
      </w:pPr>
      <w:r>
        <w:rPr>
          <w:rFonts w:ascii="仿宋" w:eastAsia="仿宋" w:hAnsi="仿宋"/>
          <w:color w:val="000000"/>
          <w:sz w:val="30"/>
        </w:rPr>
        <w:t>5</w:t>
      </w:r>
      <w:r>
        <w:rPr>
          <w:rFonts w:ascii="仿宋" w:eastAsia="仿宋" w:hAnsi="仿宋" w:hint="eastAsia"/>
          <w:color w:val="000000"/>
          <w:sz w:val="30"/>
        </w:rPr>
        <w:t>、社会保障和就业支出（类）行政事业单位离退休（款）机构事业单位职业年金缴费支出（项）。主要用于：职工职业年金缴费。年初预算为</w:t>
      </w:r>
      <w:r>
        <w:rPr>
          <w:rFonts w:ascii="仿宋" w:eastAsia="仿宋" w:hAnsi="仿宋"/>
          <w:color w:val="000000"/>
          <w:sz w:val="30"/>
        </w:rPr>
        <w:t>42.74</w:t>
      </w:r>
      <w:r>
        <w:rPr>
          <w:rFonts w:ascii="仿宋" w:eastAsia="仿宋" w:hAnsi="仿宋" w:hint="eastAsia"/>
          <w:color w:val="000000"/>
          <w:sz w:val="30"/>
        </w:rPr>
        <w:t>万元，支出决算为</w:t>
      </w:r>
      <w:r>
        <w:rPr>
          <w:rFonts w:ascii="仿宋" w:eastAsia="仿宋" w:hAnsi="仿宋"/>
          <w:color w:val="000000"/>
          <w:sz w:val="30"/>
        </w:rPr>
        <w:t>34.37</w:t>
      </w:r>
      <w:r>
        <w:rPr>
          <w:rFonts w:ascii="仿宋" w:eastAsia="仿宋" w:hAnsi="仿宋" w:hint="eastAsia"/>
          <w:color w:val="000000"/>
          <w:sz w:val="30"/>
        </w:rPr>
        <w:t>万元。决算数小于预算数的主要原因：</w:t>
      </w:r>
      <w:r>
        <w:rPr>
          <w:rFonts w:ascii="仿宋" w:eastAsia="仿宋" w:hAnsi="仿宋"/>
          <w:color w:val="000000"/>
          <w:sz w:val="30"/>
        </w:rPr>
        <w:t>2018</w:t>
      </w:r>
      <w:r>
        <w:rPr>
          <w:rFonts w:ascii="仿宋" w:eastAsia="仿宋" w:hAnsi="仿宋" w:hint="eastAsia"/>
          <w:color w:val="000000"/>
          <w:sz w:val="30"/>
        </w:rPr>
        <w:t>年度计划招聘岗位未完成。</w:t>
      </w:r>
    </w:p>
    <w:p w:rsidR="00EA4432" w:rsidRDefault="00E51AEC">
      <w:pPr>
        <w:ind w:left="0" w:firstLineChars="200" w:firstLine="600"/>
        <w:jc w:val="left"/>
        <w:rPr>
          <w:rFonts w:ascii="仿宋" w:eastAsia="仿宋" w:hAnsi="仿宋"/>
        </w:rPr>
      </w:pPr>
      <w:r>
        <w:rPr>
          <w:rFonts w:ascii="仿宋" w:eastAsia="仿宋" w:hAnsi="仿宋"/>
          <w:color w:val="000000"/>
          <w:sz w:val="30"/>
        </w:rPr>
        <w:t>6</w:t>
      </w:r>
      <w:r>
        <w:rPr>
          <w:rFonts w:ascii="仿宋" w:eastAsia="仿宋" w:hAnsi="仿宋" w:hint="eastAsia"/>
          <w:color w:val="000000"/>
          <w:sz w:val="30"/>
        </w:rPr>
        <w:t>、社会保障和就业支出（类）行政事业单位离退休（款）</w:t>
      </w:r>
      <w:r>
        <w:rPr>
          <w:rFonts w:ascii="仿宋" w:eastAsia="仿宋" w:hAnsi="仿宋" w:hint="eastAsia"/>
          <w:color w:val="000000"/>
          <w:sz w:val="30"/>
        </w:rPr>
        <w:lastRenderedPageBreak/>
        <w:t>其他行政事业单位离退休支出（项）。主要用于：机关事业单位退休人员活动经费支出。年初预算为</w:t>
      </w:r>
      <w:r>
        <w:rPr>
          <w:rFonts w:ascii="仿宋" w:eastAsia="仿宋" w:hAnsi="仿宋"/>
          <w:color w:val="000000"/>
          <w:sz w:val="30"/>
        </w:rPr>
        <w:t>0.77</w:t>
      </w:r>
      <w:r>
        <w:rPr>
          <w:rFonts w:ascii="仿宋" w:eastAsia="仿宋" w:hAnsi="仿宋" w:hint="eastAsia"/>
          <w:color w:val="000000"/>
          <w:sz w:val="30"/>
        </w:rPr>
        <w:t>万元，支出决算为</w:t>
      </w:r>
      <w:r>
        <w:rPr>
          <w:rFonts w:ascii="仿宋" w:eastAsia="仿宋" w:hAnsi="仿宋"/>
          <w:color w:val="000000"/>
          <w:sz w:val="30"/>
        </w:rPr>
        <w:t>0.77</w:t>
      </w:r>
      <w:r>
        <w:rPr>
          <w:rFonts w:ascii="仿宋" w:eastAsia="仿宋" w:hAnsi="仿宋" w:hint="eastAsia"/>
          <w:color w:val="000000"/>
          <w:sz w:val="30"/>
        </w:rPr>
        <w:t>万元。完成年初预算的</w:t>
      </w:r>
      <w:r>
        <w:rPr>
          <w:rFonts w:ascii="仿宋" w:eastAsia="仿宋" w:hAnsi="仿宋"/>
          <w:color w:val="000000"/>
          <w:sz w:val="30"/>
        </w:rPr>
        <w:t>100.00%</w:t>
      </w:r>
      <w:r>
        <w:rPr>
          <w:rFonts w:ascii="仿宋" w:eastAsia="仿宋" w:hAnsi="仿宋" w:hint="eastAsia"/>
          <w:color w:val="000000"/>
          <w:sz w:val="30"/>
        </w:rPr>
        <w:t>。</w:t>
      </w:r>
    </w:p>
    <w:p w:rsidR="00EA4432" w:rsidRDefault="00E51AEC">
      <w:pPr>
        <w:ind w:left="0" w:firstLineChars="200" w:firstLine="600"/>
        <w:jc w:val="left"/>
        <w:rPr>
          <w:rFonts w:ascii="仿宋" w:eastAsia="仿宋" w:hAnsi="仿宋"/>
        </w:rPr>
      </w:pPr>
      <w:r>
        <w:rPr>
          <w:rFonts w:ascii="仿宋" w:eastAsia="仿宋" w:hAnsi="仿宋"/>
          <w:color w:val="000000"/>
          <w:sz w:val="30"/>
        </w:rPr>
        <w:t>7</w:t>
      </w:r>
      <w:r>
        <w:rPr>
          <w:rFonts w:ascii="仿宋" w:eastAsia="仿宋" w:hAnsi="仿宋" w:hint="eastAsia"/>
          <w:color w:val="000000"/>
          <w:sz w:val="30"/>
        </w:rPr>
        <w:t>、医疗卫生与计划生育支出（类）行政事业单位医疗（款）事业单位医疗（项）。主要用于：职工医疗保障费用。年初预算为</w:t>
      </w:r>
      <w:r>
        <w:rPr>
          <w:rFonts w:ascii="仿宋" w:eastAsia="仿宋" w:hAnsi="仿宋"/>
          <w:color w:val="000000"/>
          <w:sz w:val="30"/>
        </w:rPr>
        <w:t>50.75</w:t>
      </w:r>
      <w:r>
        <w:rPr>
          <w:rFonts w:ascii="仿宋" w:eastAsia="仿宋" w:hAnsi="仿宋" w:hint="eastAsia"/>
          <w:color w:val="000000"/>
          <w:sz w:val="30"/>
        </w:rPr>
        <w:t>万元，支出决算为</w:t>
      </w:r>
      <w:r>
        <w:rPr>
          <w:rFonts w:ascii="仿宋" w:eastAsia="仿宋" w:hAnsi="仿宋"/>
          <w:color w:val="000000"/>
          <w:sz w:val="30"/>
        </w:rPr>
        <w:t>40.81</w:t>
      </w:r>
      <w:r>
        <w:rPr>
          <w:rFonts w:ascii="仿宋" w:eastAsia="仿宋" w:hAnsi="仿宋" w:hint="eastAsia"/>
          <w:color w:val="000000"/>
          <w:sz w:val="30"/>
        </w:rPr>
        <w:t>万元。决算数小于预算数的主要原因：</w:t>
      </w:r>
      <w:r>
        <w:rPr>
          <w:rFonts w:ascii="仿宋" w:eastAsia="仿宋" w:hAnsi="仿宋"/>
          <w:color w:val="000000"/>
          <w:sz w:val="30"/>
        </w:rPr>
        <w:t>2018</w:t>
      </w:r>
      <w:r>
        <w:rPr>
          <w:rFonts w:ascii="仿宋" w:eastAsia="仿宋" w:hAnsi="仿宋" w:hint="eastAsia"/>
          <w:color w:val="000000"/>
          <w:sz w:val="30"/>
        </w:rPr>
        <w:t>年度计划招聘岗位未完成。</w:t>
      </w:r>
    </w:p>
    <w:p w:rsidR="00EA4432" w:rsidRDefault="00E51AEC">
      <w:pPr>
        <w:ind w:left="0" w:firstLineChars="200" w:firstLine="600"/>
        <w:jc w:val="left"/>
        <w:rPr>
          <w:rFonts w:ascii="仿宋" w:eastAsia="仿宋" w:hAnsi="仿宋"/>
        </w:rPr>
      </w:pPr>
      <w:r>
        <w:rPr>
          <w:rFonts w:ascii="仿宋" w:eastAsia="仿宋" w:hAnsi="仿宋"/>
          <w:color w:val="000000"/>
          <w:sz w:val="30"/>
        </w:rPr>
        <w:t>8</w:t>
      </w:r>
      <w:r>
        <w:rPr>
          <w:rFonts w:ascii="仿宋" w:eastAsia="仿宋" w:hAnsi="仿宋" w:hint="eastAsia"/>
          <w:color w:val="000000"/>
          <w:sz w:val="30"/>
        </w:rPr>
        <w:t>、住房保障支出（类）住房改革支出（款）住房公积金（项）。主要用于：职工住房公积金。年初预算为</w:t>
      </w:r>
      <w:r>
        <w:rPr>
          <w:rFonts w:ascii="仿宋" w:eastAsia="仿宋" w:hAnsi="仿宋"/>
          <w:color w:val="000000"/>
          <w:sz w:val="30"/>
        </w:rPr>
        <w:t>37.40</w:t>
      </w:r>
      <w:r>
        <w:rPr>
          <w:rFonts w:ascii="仿宋" w:eastAsia="仿宋" w:hAnsi="仿宋" w:hint="eastAsia"/>
          <w:color w:val="000000"/>
          <w:sz w:val="30"/>
        </w:rPr>
        <w:t>万元，支出决算为</w:t>
      </w:r>
      <w:r>
        <w:rPr>
          <w:rFonts w:ascii="仿宋" w:eastAsia="仿宋" w:hAnsi="仿宋"/>
          <w:color w:val="000000"/>
          <w:sz w:val="30"/>
        </w:rPr>
        <w:t>30.50</w:t>
      </w:r>
      <w:r>
        <w:rPr>
          <w:rFonts w:ascii="仿宋" w:eastAsia="仿宋" w:hAnsi="仿宋" w:hint="eastAsia"/>
          <w:color w:val="000000"/>
          <w:sz w:val="30"/>
        </w:rPr>
        <w:t>万元。决算数小于预算数的主要原因：</w:t>
      </w:r>
      <w:r>
        <w:rPr>
          <w:rFonts w:ascii="仿宋" w:eastAsia="仿宋" w:hAnsi="仿宋"/>
          <w:color w:val="000000"/>
          <w:sz w:val="30"/>
        </w:rPr>
        <w:t>2018</w:t>
      </w:r>
      <w:r>
        <w:rPr>
          <w:rFonts w:ascii="仿宋" w:eastAsia="仿宋" w:hAnsi="仿宋" w:hint="eastAsia"/>
          <w:color w:val="000000"/>
          <w:sz w:val="30"/>
        </w:rPr>
        <w:t>年度计划招聘岗位未完成。</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六、关于刘海粟美术馆</w:t>
      </w:r>
      <w:r>
        <w:rPr>
          <w:rFonts w:ascii="楷体" w:eastAsia="楷体" w:hAnsi="楷体"/>
          <w:b/>
          <w:color w:val="000000"/>
          <w:sz w:val="30"/>
          <w:szCs w:val="30"/>
        </w:rPr>
        <w:t>2018</w:t>
      </w:r>
      <w:r>
        <w:rPr>
          <w:rFonts w:ascii="楷体" w:eastAsia="楷体" w:hAnsi="楷体" w:hint="eastAsia"/>
          <w:b/>
          <w:color w:val="000000"/>
          <w:sz w:val="30"/>
          <w:szCs w:val="30"/>
        </w:rPr>
        <w:t>年度一般公共预算财政拨款基本支出决算情况说明</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2018 </w:t>
      </w:r>
      <w:r>
        <w:rPr>
          <w:rFonts w:ascii="仿宋" w:eastAsia="仿宋" w:hAnsi="仿宋" w:hint="eastAsia"/>
          <w:color w:val="000000"/>
          <w:sz w:val="30"/>
        </w:rPr>
        <w:t>年度一般公共预算财政拨款基本支出</w:t>
      </w:r>
      <w:r>
        <w:rPr>
          <w:rFonts w:ascii="仿宋" w:eastAsia="仿宋" w:hAnsi="仿宋"/>
          <w:color w:val="000000"/>
          <w:sz w:val="30"/>
        </w:rPr>
        <w:t>930.81</w:t>
      </w:r>
      <w:r>
        <w:rPr>
          <w:rFonts w:ascii="仿宋" w:eastAsia="仿宋" w:hAnsi="仿宋" w:hint="eastAsia"/>
          <w:color w:val="000000"/>
          <w:sz w:val="30"/>
        </w:rPr>
        <w:t>万元，包括人员经费</w:t>
      </w:r>
      <w:r>
        <w:rPr>
          <w:rFonts w:ascii="仿宋" w:eastAsia="仿宋" w:hAnsi="仿宋"/>
          <w:color w:val="000000"/>
          <w:sz w:val="30"/>
        </w:rPr>
        <w:t>718.57</w:t>
      </w:r>
      <w:r>
        <w:rPr>
          <w:rFonts w:ascii="仿宋" w:eastAsia="仿宋" w:hAnsi="仿宋" w:hint="eastAsia"/>
          <w:color w:val="000000"/>
          <w:sz w:val="30"/>
        </w:rPr>
        <w:t>万元，公用经费</w:t>
      </w:r>
      <w:r>
        <w:rPr>
          <w:rFonts w:ascii="仿宋" w:eastAsia="仿宋" w:hAnsi="仿宋"/>
          <w:color w:val="000000"/>
          <w:sz w:val="30"/>
        </w:rPr>
        <w:t>212.24</w:t>
      </w:r>
      <w:r>
        <w:rPr>
          <w:rFonts w:ascii="仿宋" w:eastAsia="仿宋" w:hAnsi="仿宋" w:hint="eastAsia"/>
          <w:color w:val="000000"/>
          <w:sz w:val="30"/>
        </w:rPr>
        <w:t>万元。基本支出中：</w:t>
      </w:r>
    </w:p>
    <w:p w:rsidR="00EA4432" w:rsidRDefault="00E51AEC">
      <w:pPr>
        <w:ind w:left="0" w:firstLineChars="200" w:firstLine="600"/>
        <w:jc w:val="left"/>
        <w:rPr>
          <w:rFonts w:ascii="仿宋" w:eastAsia="仿宋" w:hAnsi="仿宋"/>
        </w:rPr>
      </w:pPr>
      <w:r>
        <w:rPr>
          <w:rFonts w:ascii="仿宋" w:eastAsia="仿宋" w:hAnsi="仿宋"/>
          <w:color w:val="000000"/>
          <w:sz w:val="30"/>
        </w:rPr>
        <w:t xml:space="preserve"> 1 </w:t>
      </w:r>
      <w:r>
        <w:rPr>
          <w:rFonts w:ascii="仿宋" w:eastAsia="仿宋" w:hAnsi="仿宋" w:hint="eastAsia"/>
          <w:color w:val="000000"/>
          <w:sz w:val="30"/>
        </w:rPr>
        <w:t>、工资福利支出</w:t>
      </w:r>
      <w:r>
        <w:rPr>
          <w:rFonts w:ascii="仿宋" w:eastAsia="仿宋" w:hAnsi="仿宋"/>
          <w:color w:val="000000"/>
          <w:sz w:val="30"/>
        </w:rPr>
        <w:t>718.57</w:t>
      </w:r>
      <w:r>
        <w:rPr>
          <w:rFonts w:ascii="仿宋" w:eastAsia="仿宋" w:hAnsi="仿宋" w:hint="eastAsia"/>
          <w:color w:val="000000"/>
          <w:sz w:val="30"/>
        </w:rPr>
        <w:t>万元，主要用于：基本工资、津贴补贴、绩效工资、机关事业单位基本养老保险费、职业年金缴费、职工基本医疗保险缴费、其他社会保障缴费、住房公积金及其他工资福利支出。</w:t>
      </w:r>
    </w:p>
    <w:p w:rsidR="00EA4432" w:rsidRDefault="00E51AEC">
      <w:pPr>
        <w:ind w:left="0" w:firstLineChars="200" w:firstLine="600"/>
        <w:jc w:val="left"/>
        <w:rPr>
          <w:rFonts w:ascii="仿宋" w:eastAsia="仿宋" w:hAnsi="仿宋"/>
          <w:color w:val="000000"/>
          <w:sz w:val="30"/>
        </w:rPr>
      </w:pPr>
      <w:r>
        <w:rPr>
          <w:rFonts w:ascii="仿宋" w:eastAsia="仿宋" w:hAnsi="仿宋"/>
          <w:color w:val="000000"/>
          <w:sz w:val="30"/>
        </w:rPr>
        <w:t xml:space="preserve"> 2 </w:t>
      </w:r>
      <w:r>
        <w:rPr>
          <w:rFonts w:ascii="仿宋" w:eastAsia="仿宋" w:hAnsi="仿宋" w:hint="eastAsia"/>
          <w:color w:val="000000"/>
          <w:sz w:val="30"/>
        </w:rPr>
        <w:t>、商品和服务支出</w:t>
      </w:r>
      <w:r>
        <w:rPr>
          <w:rFonts w:ascii="仿宋" w:eastAsia="仿宋" w:hAnsi="仿宋"/>
          <w:color w:val="000000"/>
          <w:sz w:val="30"/>
        </w:rPr>
        <w:t>206.27</w:t>
      </w:r>
      <w:r>
        <w:rPr>
          <w:rFonts w:ascii="仿宋" w:eastAsia="仿宋" w:hAnsi="仿宋" w:hint="eastAsia"/>
          <w:color w:val="000000"/>
          <w:sz w:val="30"/>
        </w:rPr>
        <w:t>万元，主要用于：办公费、印刷费、咨询费、手续费、水费、邮电费、差旅费、因公出国</w:t>
      </w:r>
      <w:r>
        <w:rPr>
          <w:rFonts w:ascii="仿宋" w:eastAsia="仿宋" w:hAnsi="仿宋" w:hint="eastAsia"/>
          <w:color w:val="000000"/>
          <w:sz w:val="30"/>
        </w:rPr>
        <w:lastRenderedPageBreak/>
        <w:t>（境）费用、维修（护）费、租赁费、会议费、培训费、公务接待费、专用材料费、劳务费、工会经费、福利费、公务用车运行维护费、其他商品和服务支出。</w:t>
      </w:r>
    </w:p>
    <w:p w:rsidR="00EA4432" w:rsidRDefault="00E51AEC">
      <w:pPr>
        <w:ind w:left="0" w:firstLineChars="200" w:firstLine="600"/>
        <w:jc w:val="left"/>
        <w:rPr>
          <w:rFonts w:ascii="仿宋" w:eastAsia="仿宋" w:hAnsi="仿宋"/>
        </w:rPr>
      </w:pPr>
      <w:r>
        <w:rPr>
          <w:rFonts w:ascii="仿宋" w:eastAsia="仿宋" w:hAnsi="仿宋"/>
          <w:color w:val="000000"/>
          <w:sz w:val="30"/>
        </w:rPr>
        <w:t xml:space="preserve">3 </w:t>
      </w:r>
      <w:r>
        <w:rPr>
          <w:rFonts w:ascii="仿宋" w:eastAsia="仿宋" w:hAnsi="仿宋" w:hint="eastAsia"/>
          <w:color w:val="000000"/>
          <w:sz w:val="30"/>
        </w:rPr>
        <w:t>、资本性支出</w:t>
      </w:r>
      <w:r>
        <w:rPr>
          <w:rFonts w:ascii="仿宋" w:eastAsia="仿宋" w:hAnsi="仿宋"/>
          <w:color w:val="000000"/>
          <w:sz w:val="30"/>
        </w:rPr>
        <w:t>5.97</w:t>
      </w:r>
      <w:r>
        <w:rPr>
          <w:rFonts w:ascii="仿宋" w:eastAsia="仿宋" w:hAnsi="仿宋" w:hint="eastAsia"/>
          <w:color w:val="000000"/>
          <w:sz w:val="30"/>
        </w:rPr>
        <w:t>万元，主要用于：办公设备购置、其他资本性支出。</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七、关于刘海粟美术馆</w:t>
      </w:r>
      <w:r>
        <w:rPr>
          <w:rFonts w:ascii="楷体" w:eastAsia="楷体" w:hAnsi="楷体"/>
          <w:b/>
          <w:color w:val="000000"/>
          <w:sz w:val="30"/>
          <w:szCs w:val="30"/>
        </w:rPr>
        <w:t>2018</w:t>
      </w:r>
      <w:r>
        <w:rPr>
          <w:rFonts w:ascii="楷体" w:eastAsia="楷体" w:hAnsi="楷体" w:hint="eastAsia"/>
          <w:b/>
          <w:color w:val="000000"/>
          <w:sz w:val="30"/>
          <w:szCs w:val="30"/>
        </w:rPr>
        <w:t>年度一般公共预算财政拨款“三公”经费支出决算情况说明</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（一）“三公”经费财政拨款支出决算总体情况说明。</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2018 </w:t>
      </w:r>
      <w:r>
        <w:rPr>
          <w:rFonts w:ascii="仿宋" w:eastAsia="仿宋" w:hAnsi="仿宋" w:hint="eastAsia"/>
          <w:color w:val="000000"/>
          <w:sz w:val="30"/>
        </w:rPr>
        <w:t>年度“三公”经费财政拨款支出年初预算为</w:t>
      </w:r>
      <w:r>
        <w:rPr>
          <w:rFonts w:ascii="仿宋" w:eastAsia="仿宋" w:hAnsi="仿宋"/>
          <w:color w:val="000000"/>
          <w:sz w:val="30"/>
        </w:rPr>
        <w:t>19.40</w:t>
      </w:r>
      <w:r>
        <w:rPr>
          <w:rFonts w:ascii="仿宋" w:eastAsia="仿宋" w:hAnsi="仿宋" w:hint="eastAsia"/>
          <w:color w:val="000000"/>
          <w:sz w:val="30"/>
        </w:rPr>
        <w:t>万元，支出决算为</w:t>
      </w:r>
      <w:r>
        <w:rPr>
          <w:rFonts w:ascii="仿宋" w:eastAsia="仿宋" w:hAnsi="仿宋"/>
          <w:color w:val="000000"/>
          <w:sz w:val="30"/>
        </w:rPr>
        <w:t>15.93</w:t>
      </w:r>
      <w:r>
        <w:rPr>
          <w:rFonts w:ascii="仿宋" w:eastAsia="仿宋" w:hAnsi="仿宋" w:hint="eastAsia"/>
          <w:color w:val="000000"/>
          <w:sz w:val="30"/>
        </w:rPr>
        <w:t>万元，完成预算的</w:t>
      </w:r>
      <w:r>
        <w:rPr>
          <w:rFonts w:ascii="仿宋" w:eastAsia="仿宋" w:hAnsi="仿宋"/>
          <w:color w:val="000000"/>
          <w:sz w:val="30"/>
        </w:rPr>
        <w:t>82.14%</w:t>
      </w:r>
      <w:r>
        <w:rPr>
          <w:rFonts w:ascii="仿宋" w:eastAsia="仿宋" w:hAnsi="仿宋" w:hint="eastAsia"/>
          <w:color w:val="000000"/>
          <w:sz w:val="30"/>
        </w:rPr>
        <w:t>，其中：因公出国（境）费决算为</w:t>
      </w:r>
      <w:r>
        <w:rPr>
          <w:rFonts w:ascii="仿宋" w:eastAsia="仿宋" w:hAnsi="仿宋"/>
          <w:color w:val="000000"/>
          <w:sz w:val="30"/>
        </w:rPr>
        <w:t>9.00</w:t>
      </w:r>
      <w:r>
        <w:rPr>
          <w:rFonts w:ascii="仿宋" w:eastAsia="仿宋" w:hAnsi="仿宋" w:hint="eastAsia"/>
          <w:color w:val="000000"/>
          <w:sz w:val="30"/>
        </w:rPr>
        <w:t>万元，完成预算的</w:t>
      </w:r>
      <w:r>
        <w:rPr>
          <w:rFonts w:ascii="仿宋" w:eastAsia="仿宋" w:hAnsi="仿宋"/>
          <w:color w:val="000000"/>
          <w:sz w:val="30"/>
        </w:rPr>
        <w:t>100.00%</w:t>
      </w:r>
      <w:r>
        <w:rPr>
          <w:rFonts w:ascii="仿宋" w:eastAsia="仿宋" w:hAnsi="仿宋" w:hint="eastAsia"/>
          <w:color w:val="000000"/>
          <w:sz w:val="30"/>
        </w:rPr>
        <w:t>；公务用车购置及运行费支出决算为</w:t>
      </w:r>
      <w:r>
        <w:rPr>
          <w:rFonts w:ascii="仿宋" w:eastAsia="仿宋" w:hAnsi="仿宋"/>
          <w:color w:val="000000"/>
          <w:sz w:val="30"/>
        </w:rPr>
        <w:t>5.42</w:t>
      </w:r>
      <w:r>
        <w:rPr>
          <w:rFonts w:ascii="仿宋" w:eastAsia="仿宋" w:hAnsi="仿宋" w:hint="eastAsia"/>
          <w:color w:val="000000"/>
          <w:sz w:val="30"/>
        </w:rPr>
        <w:t>万元，完成预算的</w:t>
      </w:r>
      <w:r>
        <w:rPr>
          <w:rFonts w:ascii="仿宋" w:eastAsia="仿宋" w:hAnsi="仿宋"/>
          <w:color w:val="000000"/>
          <w:sz w:val="30"/>
        </w:rPr>
        <w:t>84.76%</w:t>
      </w:r>
      <w:r>
        <w:rPr>
          <w:rFonts w:ascii="仿宋" w:eastAsia="仿宋" w:hAnsi="仿宋" w:hint="eastAsia"/>
          <w:color w:val="000000"/>
          <w:sz w:val="30"/>
        </w:rPr>
        <w:t>；公务接待费支出决算为</w:t>
      </w:r>
      <w:r>
        <w:rPr>
          <w:rFonts w:ascii="仿宋" w:eastAsia="仿宋" w:hAnsi="仿宋"/>
          <w:color w:val="000000"/>
          <w:sz w:val="30"/>
        </w:rPr>
        <w:t>1.51</w:t>
      </w:r>
      <w:r>
        <w:rPr>
          <w:rFonts w:ascii="仿宋" w:eastAsia="仿宋" w:hAnsi="仿宋" w:hint="eastAsia"/>
          <w:color w:val="000000"/>
          <w:sz w:val="30"/>
        </w:rPr>
        <w:t>万元，完成预算的</w:t>
      </w:r>
      <w:r>
        <w:rPr>
          <w:rFonts w:ascii="仿宋" w:eastAsia="仿宋" w:hAnsi="仿宋"/>
          <w:color w:val="000000"/>
          <w:sz w:val="30"/>
        </w:rPr>
        <w:t>37.77%</w:t>
      </w:r>
      <w:r>
        <w:rPr>
          <w:rFonts w:ascii="仿宋" w:eastAsia="仿宋" w:hAnsi="仿宋" w:hint="eastAsia"/>
          <w:color w:val="000000"/>
          <w:sz w:val="30"/>
        </w:rPr>
        <w:t>。</w:t>
      </w:r>
      <w:r>
        <w:rPr>
          <w:rFonts w:ascii="仿宋" w:eastAsia="仿宋" w:hAnsi="仿宋"/>
          <w:color w:val="000000"/>
          <w:sz w:val="30"/>
        </w:rPr>
        <w:t>2018</w:t>
      </w:r>
      <w:r>
        <w:rPr>
          <w:rFonts w:ascii="仿宋" w:eastAsia="仿宋" w:hAnsi="仿宋" w:hint="eastAsia"/>
          <w:color w:val="000000"/>
          <w:sz w:val="30"/>
        </w:rPr>
        <w:t>年度“三公”经费支出决算数小于预算数的主要原因：根据中央八项规定，严格控制节约三公经费支出。</w:t>
      </w:r>
    </w:p>
    <w:p w:rsidR="00EA4432" w:rsidRDefault="00E51AEC">
      <w:pPr>
        <w:ind w:left="0" w:firstLineChars="200" w:firstLine="600"/>
        <w:jc w:val="left"/>
        <w:rPr>
          <w:rFonts w:ascii="仿宋" w:eastAsia="仿宋" w:hAnsi="仿宋"/>
        </w:rPr>
      </w:pPr>
      <w:r>
        <w:rPr>
          <w:rFonts w:ascii="仿宋" w:eastAsia="仿宋" w:hAnsi="仿宋"/>
          <w:color w:val="000000"/>
          <w:sz w:val="30"/>
        </w:rPr>
        <w:t xml:space="preserve"> 2018 </w:t>
      </w:r>
      <w:r>
        <w:rPr>
          <w:rFonts w:ascii="仿宋" w:eastAsia="仿宋" w:hAnsi="仿宋" w:hint="eastAsia"/>
          <w:color w:val="000000"/>
          <w:sz w:val="30"/>
        </w:rPr>
        <w:t>年度“三公”经费财政拨款支出决算数比</w:t>
      </w:r>
      <w:r>
        <w:rPr>
          <w:rFonts w:ascii="仿宋" w:eastAsia="仿宋" w:hAnsi="仿宋"/>
          <w:color w:val="000000"/>
          <w:sz w:val="30"/>
        </w:rPr>
        <w:t>2017</w:t>
      </w:r>
      <w:r>
        <w:rPr>
          <w:rFonts w:ascii="仿宋" w:eastAsia="仿宋" w:hAnsi="仿宋" w:hint="eastAsia"/>
          <w:color w:val="000000"/>
          <w:sz w:val="30"/>
        </w:rPr>
        <w:t>年度增加</w:t>
      </w:r>
      <w:r>
        <w:rPr>
          <w:rFonts w:ascii="仿宋" w:eastAsia="仿宋" w:hAnsi="仿宋"/>
          <w:color w:val="000000"/>
          <w:sz w:val="30"/>
        </w:rPr>
        <w:t>6.17</w:t>
      </w:r>
      <w:r>
        <w:rPr>
          <w:rFonts w:ascii="仿宋" w:eastAsia="仿宋" w:hAnsi="仿宋" w:hint="eastAsia"/>
          <w:color w:val="000000"/>
          <w:sz w:val="30"/>
        </w:rPr>
        <w:t>万元，增长</w:t>
      </w:r>
      <w:r>
        <w:rPr>
          <w:rFonts w:ascii="仿宋" w:eastAsia="仿宋" w:hAnsi="仿宋"/>
          <w:color w:val="000000"/>
          <w:sz w:val="30"/>
        </w:rPr>
        <w:t>63.26%</w:t>
      </w:r>
      <w:r>
        <w:rPr>
          <w:rFonts w:ascii="仿宋" w:eastAsia="仿宋" w:hAnsi="仿宋" w:hint="eastAsia"/>
          <w:color w:val="000000"/>
          <w:sz w:val="30"/>
        </w:rPr>
        <w:t>，其中：因公出国（境）费支出决算增加</w:t>
      </w:r>
      <w:r>
        <w:rPr>
          <w:rFonts w:ascii="仿宋" w:eastAsia="仿宋" w:hAnsi="仿宋"/>
          <w:color w:val="000000"/>
          <w:sz w:val="30"/>
        </w:rPr>
        <w:t>5.47</w:t>
      </w:r>
      <w:r>
        <w:rPr>
          <w:rFonts w:ascii="仿宋" w:eastAsia="仿宋" w:hAnsi="仿宋" w:hint="eastAsia"/>
          <w:color w:val="000000"/>
          <w:sz w:val="30"/>
        </w:rPr>
        <w:t>万元，增长</w:t>
      </w:r>
      <w:r>
        <w:rPr>
          <w:rFonts w:ascii="仿宋" w:eastAsia="仿宋" w:hAnsi="仿宋"/>
          <w:color w:val="000000"/>
          <w:sz w:val="30"/>
        </w:rPr>
        <w:t>154.96%</w:t>
      </w:r>
      <w:r>
        <w:rPr>
          <w:rFonts w:ascii="仿宋" w:eastAsia="仿宋" w:hAnsi="仿宋" w:hint="eastAsia"/>
          <w:color w:val="000000"/>
          <w:sz w:val="30"/>
        </w:rPr>
        <w:t>；公务用车购置及运行费支出决算减少</w:t>
      </w:r>
      <w:r>
        <w:rPr>
          <w:rFonts w:ascii="仿宋" w:eastAsia="仿宋" w:hAnsi="仿宋"/>
          <w:color w:val="000000"/>
          <w:sz w:val="30"/>
        </w:rPr>
        <w:t>0.74</w:t>
      </w:r>
      <w:r>
        <w:rPr>
          <w:rFonts w:ascii="仿宋" w:eastAsia="仿宋" w:hAnsi="仿宋" w:hint="eastAsia"/>
          <w:color w:val="000000"/>
          <w:sz w:val="30"/>
        </w:rPr>
        <w:t>万元，降低</w:t>
      </w:r>
      <w:r>
        <w:rPr>
          <w:rFonts w:ascii="仿宋" w:eastAsia="仿宋" w:hAnsi="仿宋"/>
          <w:color w:val="000000"/>
          <w:sz w:val="30"/>
        </w:rPr>
        <w:t>12.01%</w:t>
      </w:r>
      <w:r>
        <w:rPr>
          <w:rFonts w:ascii="仿宋" w:eastAsia="仿宋" w:hAnsi="仿宋" w:hint="eastAsia"/>
          <w:color w:val="000000"/>
          <w:sz w:val="30"/>
        </w:rPr>
        <w:t>；公务接待费支出决算增加</w:t>
      </w:r>
      <w:r>
        <w:rPr>
          <w:rFonts w:ascii="仿宋" w:eastAsia="仿宋" w:hAnsi="仿宋"/>
          <w:color w:val="000000"/>
          <w:sz w:val="30"/>
        </w:rPr>
        <w:t>1.44</w:t>
      </w:r>
      <w:r>
        <w:rPr>
          <w:rFonts w:ascii="仿宋" w:eastAsia="仿宋" w:hAnsi="仿宋" w:hint="eastAsia"/>
          <w:color w:val="000000"/>
          <w:sz w:val="30"/>
        </w:rPr>
        <w:t>万元，增长</w:t>
      </w:r>
      <w:r>
        <w:rPr>
          <w:rFonts w:ascii="仿宋" w:eastAsia="仿宋" w:hAnsi="仿宋"/>
          <w:color w:val="000000"/>
          <w:sz w:val="30"/>
        </w:rPr>
        <w:t>2,057.14%</w:t>
      </w:r>
      <w:r>
        <w:rPr>
          <w:rFonts w:ascii="仿宋" w:eastAsia="仿宋" w:hAnsi="仿宋" w:hint="eastAsia"/>
          <w:color w:val="000000"/>
          <w:sz w:val="30"/>
        </w:rPr>
        <w:t>。因公出国（境）费支出增加的主要原因是赴外团次增加。公务用车购置及运行费支出减少的主要原因是燃油费减少。公务接待费支出增加的主要原因是接</w:t>
      </w:r>
      <w:r>
        <w:rPr>
          <w:rFonts w:ascii="仿宋" w:eastAsia="仿宋" w:hAnsi="仿宋" w:hint="eastAsia"/>
          <w:color w:val="000000"/>
          <w:sz w:val="30"/>
        </w:rPr>
        <w:lastRenderedPageBreak/>
        <w:t>待团次增加。</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（二）“三公”经费财政拨款支出决算具体情况说明。</w:t>
      </w:r>
    </w:p>
    <w:p w:rsidR="00EA4432" w:rsidRDefault="00E51AEC">
      <w:pPr>
        <w:ind w:left="0" w:firstLineChars="200" w:firstLine="600"/>
        <w:jc w:val="left"/>
        <w:rPr>
          <w:rFonts w:ascii="仿宋" w:eastAsia="仿宋" w:hAnsi="仿宋"/>
        </w:rPr>
      </w:pPr>
      <w:r>
        <w:rPr>
          <w:rFonts w:ascii="仿宋" w:eastAsia="仿宋" w:hAnsi="仿宋"/>
          <w:color w:val="000000"/>
          <w:sz w:val="30"/>
        </w:rPr>
        <w:t xml:space="preserve"> 2018 </w:t>
      </w:r>
      <w:r>
        <w:rPr>
          <w:rFonts w:ascii="仿宋" w:eastAsia="仿宋" w:hAnsi="仿宋" w:hint="eastAsia"/>
          <w:color w:val="000000"/>
          <w:sz w:val="30"/>
        </w:rPr>
        <w:t>年度“三公”经费财政拨款支出决算中，因公出国（境）费支出决算</w:t>
      </w:r>
      <w:r>
        <w:rPr>
          <w:rFonts w:ascii="仿宋" w:eastAsia="仿宋" w:hAnsi="仿宋"/>
          <w:color w:val="000000"/>
          <w:sz w:val="30"/>
        </w:rPr>
        <w:t>9.00</w:t>
      </w:r>
      <w:r>
        <w:rPr>
          <w:rFonts w:ascii="仿宋" w:eastAsia="仿宋" w:hAnsi="仿宋" w:hint="eastAsia"/>
          <w:color w:val="000000"/>
          <w:sz w:val="30"/>
        </w:rPr>
        <w:t>万元，占</w:t>
      </w:r>
      <w:r>
        <w:rPr>
          <w:rFonts w:ascii="仿宋" w:eastAsia="仿宋" w:hAnsi="仿宋"/>
          <w:color w:val="000000"/>
          <w:sz w:val="30"/>
        </w:rPr>
        <w:t>56.48%</w:t>
      </w:r>
      <w:r>
        <w:rPr>
          <w:rFonts w:ascii="仿宋" w:eastAsia="仿宋" w:hAnsi="仿宋" w:hint="eastAsia"/>
          <w:color w:val="000000"/>
          <w:sz w:val="30"/>
        </w:rPr>
        <w:t>；公务用车购置及运行费支出决算</w:t>
      </w:r>
      <w:r>
        <w:rPr>
          <w:rFonts w:ascii="仿宋" w:eastAsia="仿宋" w:hAnsi="仿宋"/>
          <w:color w:val="000000"/>
          <w:sz w:val="30"/>
        </w:rPr>
        <w:t>5.42</w:t>
      </w:r>
      <w:r>
        <w:rPr>
          <w:rFonts w:ascii="仿宋" w:eastAsia="仿宋" w:hAnsi="仿宋" w:hint="eastAsia"/>
          <w:color w:val="000000"/>
          <w:sz w:val="30"/>
        </w:rPr>
        <w:t>万元，占</w:t>
      </w:r>
      <w:r>
        <w:rPr>
          <w:rFonts w:ascii="仿宋" w:eastAsia="仿宋" w:hAnsi="仿宋"/>
          <w:color w:val="000000"/>
          <w:sz w:val="30"/>
        </w:rPr>
        <w:t>34.04%</w:t>
      </w:r>
      <w:r>
        <w:rPr>
          <w:rFonts w:ascii="仿宋" w:eastAsia="仿宋" w:hAnsi="仿宋" w:hint="eastAsia"/>
          <w:color w:val="000000"/>
          <w:sz w:val="30"/>
        </w:rPr>
        <w:t>；公务接待费支出决算</w:t>
      </w:r>
      <w:r>
        <w:rPr>
          <w:rFonts w:ascii="仿宋" w:eastAsia="仿宋" w:hAnsi="仿宋"/>
          <w:color w:val="000000"/>
          <w:sz w:val="30"/>
        </w:rPr>
        <w:t>1.51</w:t>
      </w:r>
      <w:r>
        <w:rPr>
          <w:rFonts w:ascii="仿宋" w:eastAsia="仿宋" w:hAnsi="仿宋" w:hint="eastAsia"/>
          <w:color w:val="000000"/>
          <w:sz w:val="30"/>
        </w:rPr>
        <w:t>万元，占</w:t>
      </w:r>
      <w:r>
        <w:rPr>
          <w:rFonts w:ascii="仿宋" w:eastAsia="仿宋" w:hAnsi="仿宋"/>
          <w:color w:val="000000"/>
          <w:sz w:val="30"/>
        </w:rPr>
        <w:t>9.48%</w:t>
      </w:r>
      <w:r>
        <w:rPr>
          <w:rFonts w:ascii="仿宋" w:eastAsia="仿宋" w:hAnsi="仿宋" w:hint="eastAsia"/>
          <w:color w:val="000000"/>
          <w:sz w:val="30"/>
        </w:rPr>
        <w:t>。具体情况如下：</w:t>
      </w:r>
    </w:p>
    <w:p w:rsidR="00EA4432" w:rsidRDefault="00E51AEC">
      <w:pPr>
        <w:ind w:left="0" w:firstLineChars="200" w:firstLine="600"/>
        <w:jc w:val="left"/>
        <w:rPr>
          <w:rFonts w:ascii="仿宋" w:eastAsia="仿宋" w:hAnsi="仿宋"/>
        </w:rPr>
      </w:pPr>
      <w:r>
        <w:rPr>
          <w:rFonts w:ascii="仿宋" w:eastAsia="仿宋" w:hAnsi="仿宋"/>
          <w:color w:val="000000"/>
          <w:sz w:val="30"/>
        </w:rPr>
        <w:t xml:space="preserve"> 1 </w:t>
      </w:r>
      <w:r>
        <w:rPr>
          <w:rFonts w:ascii="仿宋" w:eastAsia="仿宋" w:hAnsi="仿宋" w:hint="eastAsia"/>
          <w:color w:val="000000"/>
          <w:sz w:val="30"/>
        </w:rPr>
        <w:t>、因公出国（境）费支出</w:t>
      </w:r>
      <w:r>
        <w:rPr>
          <w:rFonts w:ascii="仿宋" w:eastAsia="仿宋" w:hAnsi="仿宋"/>
          <w:color w:val="000000"/>
          <w:sz w:val="30"/>
        </w:rPr>
        <w:t>9.00</w:t>
      </w:r>
      <w:r>
        <w:rPr>
          <w:rFonts w:ascii="仿宋" w:eastAsia="仿宋" w:hAnsi="仿宋" w:hint="eastAsia"/>
          <w:color w:val="000000"/>
          <w:sz w:val="30"/>
        </w:rPr>
        <w:t>万元。全年安排因公出国（境）团组</w:t>
      </w:r>
      <w:r>
        <w:rPr>
          <w:rFonts w:ascii="仿宋" w:eastAsia="仿宋" w:hAnsi="仿宋"/>
          <w:color w:val="000000"/>
          <w:sz w:val="30"/>
        </w:rPr>
        <w:t>2</w:t>
      </w:r>
      <w:r>
        <w:rPr>
          <w:rFonts w:ascii="仿宋" w:eastAsia="仿宋" w:hAnsi="仿宋" w:hint="eastAsia"/>
          <w:color w:val="000000"/>
          <w:sz w:val="30"/>
        </w:rPr>
        <w:t>个、累计</w:t>
      </w:r>
      <w:r>
        <w:rPr>
          <w:rFonts w:ascii="仿宋" w:eastAsia="仿宋" w:hAnsi="仿宋"/>
          <w:color w:val="000000"/>
          <w:sz w:val="30"/>
        </w:rPr>
        <w:t>2</w:t>
      </w:r>
      <w:r>
        <w:rPr>
          <w:rFonts w:ascii="仿宋" w:eastAsia="仿宋" w:hAnsi="仿宋" w:hint="eastAsia"/>
          <w:color w:val="000000"/>
          <w:sz w:val="30"/>
        </w:rPr>
        <w:t>人次。开支内容包括：赴美参加宣传部组织培训、赴英参加促进文化创意产业发展高级研修班培训费。</w:t>
      </w:r>
    </w:p>
    <w:p w:rsidR="00EA4432" w:rsidRDefault="00E51AEC">
      <w:pPr>
        <w:ind w:left="0" w:firstLineChars="200" w:firstLine="600"/>
        <w:jc w:val="left"/>
        <w:rPr>
          <w:rFonts w:ascii="仿宋" w:eastAsia="仿宋" w:hAnsi="仿宋"/>
        </w:rPr>
      </w:pPr>
      <w:r>
        <w:rPr>
          <w:rFonts w:ascii="仿宋" w:eastAsia="仿宋" w:hAnsi="仿宋"/>
          <w:color w:val="000000"/>
          <w:sz w:val="30"/>
        </w:rPr>
        <w:t xml:space="preserve"> 2 </w:t>
      </w:r>
      <w:r>
        <w:rPr>
          <w:rFonts w:ascii="仿宋" w:eastAsia="仿宋" w:hAnsi="仿宋" w:hint="eastAsia"/>
          <w:color w:val="000000"/>
          <w:sz w:val="30"/>
        </w:rPr>
        <w:t>、公务用车购置及运行费支出</w:t>
      </w:r>
      <w:r>
        <w:rPr>
          <w:rFonts w:ascii="仿宋" w:eastAsia="仿宋" w:hAnsi="仿宋"/>
          <w:color w:val="000000"/>
          <w:sz w:val="30"/>
        </w:rPr>
        <w:t>5.42</w:t>
      </w:r>
      <w:r>
        <w:rPr>
          <w:rFonts w:ascii="仿宋" w:eastAsia="仿宋" w:hAnsi="仿宋" w:hint="eastAsia"/>
          <w:color w:val="000000"/>
          <w:sz w:val="30"/>
        </w:rPr>
        <w:t>万元。其中：</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公务用车购置支出为</w:t>
      </w:r>
      <w:r>
        <w:rPr>
          <w:rFonts w:ascii="仿宋" w:eastAsia="仿宋" w:hAnsi="仿宋"/>
          <w:color w:val="000000"/>
          <w:sz w:val="30"/>
        </w:rPr>
        <w:t>0.00</w:t>
      </w:r>
      <w:r>
        <w:rPr>
          <w:rFonts w:ascii="仿宋" w:eastAsia="仿宋" w:hAnsi="仿宋" w:hint="eastAsia"/>
          <w:color w:val="000000"/>
          <w:sz w:val="30"/>
        </w:rPr>
        <w:t>万元。</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公务用车运行支出</w:t>
      </w:r>
      <w:r>
        <w:rPr>
          <w:rFonts w:ascii="仿宋" w:eastAsia="仿宋" w:hAnsi="仿宋"/>
          <w:color w:val="000000"/>
          <w:sz w:val="30"/>
        </w:rPr>
        <w:t>5.42</w:t>
      </w:r>
      <w:r>
        <w:rPr>
          <w:rFonts w:ascii="仿宋" w:eastAsia="仿宋" w:hAnsi="仿宋" w:hint="eastAsia"/>
          <w:color w:val="000000"/>
          <w:sz w:val="30"/>
        </w:rPr>
        <w:t>万元。主要用于刘海粟美术馆公务用车燃油、维修及保险费。</w:t>
      </w:r>
      <w:r>
        <w:rPr>
          <w:rFonts w:ascii="仿宋" w:eastAsia="仿宋" w:hAnsi="仿宋"/>
          <w:color w:val="000000"/>
          <w:sz w:val="30"/>
        </w:rPr>
        <w:t>2018</w:t>
      </w:r>
      <w:r>
        <w:rPr>
          <w:rFonts w:ascii="仿宋" w:eastAsia="仿宋" w:hAnsi="仿宋" w:hint="eastAsia"/>
          <w:color w:val="000000"/>
          <w:sz w:val="30"/>
        </w:rPr>
        <w:t>年，刘海粟美术馆开支财政拨款的公务用车保有量为</w:t>
      </w:r>
      <w:r>
        <w:rPr>
          <w:rFonts w:ascii="仿宋" w:eastAsia="仿宋" w:hAnsi="仿宋"/>
          <w:color w:val="000000"/>
          <w:sz w:val="30"/>
        </w:rPr>
        <w:t>2</w:t>
      </w:r>
      <w:r>
        <w:rPr>
          <w:rFonts w:ascii="仿宋" w:eastAsia="仿宋" w:hAnsi="仿宋" w:hint="eastAsia"/>
          <w:color w:val="000000"/>
          <w:sz w:val="30"/>
        </w:rPr>
        <w:t>辆。</w:t>
      </w:r>
    </w:p>
    <w:p w:rsidR="00EA4432" w:rsidRDefault="00E51AEC">
      <w:pPr>
        <w:ind w:left="0" w:firstLineChars="200" w:firstLine="600"/>
        <w:jc w:val="left"/>
        <w:rPr>
          <w:rFonts w:ascii="仿宋" w:eastAsia="仿宋" w:hAnsi="仿宋"/>
        </w:rPr>
      </w:pPr>
      <w:r>
        <w:rPr>
          <w:rFonts w:ascii="仿宋" w:eastAsia="仿宋" w:hAnsi="仿宋"/>
          <w:color w:val="000000"/>
          <w:sz w:val="30"/>
        </w:rPr>
        <w:t xml:space="preserve"> 3 </w:t>
      </w:r>
      <w:r>
        <w:rPr>
          <w:rFonts w:ascii="仿宋" w:eastAsia="仿宋" w:hAnsi="仿宋" w:hint="eastAsia"/>
          <w:color w:val="000000"/>
          <w:sz w:val="30"/>
        </w:rPr>
        <w:t>、公务接待费支出</w:t>
      </w:r>
      <w:r>
        <w:rPr>
          <w:rFonts w:ascii="仿宋" w:eastAsia="仿宋" w:hAnsi="仿宋"/>
          <w:color w:val="000000"/>
          <w:sz w:val="30"/>
        </w:rPr>
        <w:t>1.51</w:t>
      </w:r>
      <w:r>
        <w:rPr>
          <w:rFonts w:ascii="仿宋" w:eastAsia="仿宋" w:hAnsi="仿宋" w:hint="eastAsia"/>
          <w:color w:val="000000"/>
          <w:sz w:val="30"/>
        </w:rPr>
        <w:t>万元。其中：</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国内公务接待支出</w:t>
      </w:r>
      <w:r>
        <w:rPr>
          <w:rFonts w:ascii="仿宋" w:eastAsia="仿宋" w:hAnsi="仿宋"/>
          <w:color w:val="000000"/>
          <w:sz w:val="30"/>
        </w:rPr>
        <w:t>1.51</w:t>
      </w:r>
      <w:r>
        <w:rPr>
          <w:rFonts w:ascii="仿宋" w:eastAsia="仿宋" w:hAnsi="仿宋" w:hint="eastAsia"/>
          <w:color w:val="000000"/>
          <w:sz w:val="30"/>
        </w:rPr>
        <w:t>万（含外宾接待支出</w:t>
      </w:r>
      <w:r>
        <w:rPr>
          <w:rFonts w:ascii="仿宋" w:eastAsia="仿宋" w:hAnsi="仿宋"/>
          <w:color w:val="000000"/>
          <w:sz w:val="30"/>
        </w:rPr>
        <w:t>0.00</w:t>
      </w:r>
      <w:r>
        <w:rPr>
          <w:rFonts w:ascii="仿宋" w:eastAsia="仿宋" w:hAnsi="仿宋" w:hint="eastAsia"/>
          <w:color w:val="000000"/>
          <w:sz w:val="30"/>
        </w:rPr>
        <w:t>万元）。主要用于省际间美术场馆和团体工作洽谈及调研接待工作，公务接待</w:t>
      </w:r>
      <w:r>
        <w:rPr>
          <w:rFonts w:ascii="仿宋" w:eastAsia="仿宋" w:hAnsi="仿宋"/>
          <w:color w:val="000000"/>
          <w:sz w:val="30"/>
        </w:rPr>
        <w:t>7</w:t>
      </w:r>
      <w:r>
        <w:rPr>
          <w:rFonts w:ascii="仿宋" w:eastAsia="仿宋" w:hAnsi="仿宋" w:hint="eastAsia"/>
          <w:color w:val="000000"/>
          <w:sz w:val="30"/>
        </w:rPr>
        <w:t>批次、</w:t>
      </w:r>
      <w:r>
        <w:rPr>
          <w:rFonts w:ascii="仿宋" w:eastAsia="仿宋" w:hAnsi="仿宋"/>
          <w:color w:val="000000"/>
          <w:sz w:val="30"/>
        </w:rPr>
        <w:t>108</w:t>
      </w:r>
      <w:r>
        <w:rPr>
          <w:rFonts w:ascii="仿宋" w:eastAsia="仿宋" w:hAnsi="仿宋" w:hint="eastAsia"/>
          <w:color w:val="000000"/>
          <w:sz w:val="30"/>
        </w:rPr>
        <w:t>人次。</w:t>
      </w:r>
    </w:p>
    <w:p w:rsidR="00EA4432" w:rsidRDefault="00E51AEC" w:rsidP="001D6716">
      <w:pPr>
        <w:ind w:left="0" w:firstLineChars="200" w:firstLine="602"/>
        <w:jc w:val="left"/>
        <w:rPr>
          <w:rFonts w:ascii="楷体" w:eastAsia="楷体" w:hAnsi="楷体"/>
          <w:sz w:val="30"/>
          <w:szCs w:val="30"/>
        </w:rPr>
      </w:pPr>
      <w:r>
        <w:rPr>
          <w:rFonts w:ascii="楷体" w:eastAsia="楷体" w:hAnsi="楷体" w:hint="eastAsia"/>
          <w:b/>
          <w:color w:val="000000"/>
          <w:sz w:val="30"/>
          <w:szCs w:val="30"/>
        </w:rPr>
        <w:t>八、关于刘海粟美术馆</w:t>
      </w:r>
      <w:r>
        <w:rPr>
          <w:rFonts w:ascii="楷体" w:eastAsia="楷体" w:hAnsi="楷体"/>
          <w:b/>
          <w:color w:val="000000"/>
          <w:sz w:val="30"/>
          <w:szCs w:val="30"/>
        </w:rPr>
        <w:t xml:space="preserve"> 2018 </w:t>
      </w:r>
      <w:r>
        <w:rPr>
          <w:rFonts w:ascii="楷体" w:eastAsia="楷体" w:hAnsi="楷体" w:hint="eastAsia"/>
          <w:b/>
          <w:color w:val="000000"/>
          <w:sz w:val="30"/>
          <w:szCs w:val="30"/>
        </w:rPr>
        <w:t>年度政府性基金预算财政拨款支出决算情况说明</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2018 </w:t>
      </w:r>
      <w:r>
        <w:rPr>
          <w:rFonts w:ascii="仿宋" w:eastAsia="仿宋" w:hAnsi="仿宋" w:hint="eastAsia"/>
          <w:color w:val="000000"/>
          <w:sz w:val="30"/>
        </w:rPr>
        <w:t>年度无政府性基金预算财政拨款支</w:t>
      </w:r>
      <w:r>
        <w:rPr>
          <w:rFonts w:ascii="仿宋" w:eastAsia="仿宋" w:hAnsi="仿宋" w:hint="eastAsia"/>
          <w:color w:val="000000"/>
          <w:sz w:val="30"/>
        </w:rPr>
        <w:lastRenderedPageBreak/>
        <w:t>出。</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九、国有资本经营预算财政拨款情况说明</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 2018 </w:t>
      </w:r>
      <w:r>
        <w:rPr>
          <w:rFonts w:ascii="仿宋" w:eastAsia="仿宋" w:hAnsi="仿宋" w:hint="eastAsia"/>
          <w:color w:val="000000"/>
          <w:sz w:val="30"/>
        </w:rPr>
        <w:t>年度无国有资本经营预算财政拨款支出。</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十、其他重要事项的情况说明</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（一）机关运行经费支出情况</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 2018 </w:t>
      </w:r>
      <w:r>
        <w:rPr>
          <w:rFonts w:ascii="仿宋" w:eastAsia="仿宋" w:hAnsi="仿宋" w:hint="eastAsia"/>
          <w:color w:val="000000"/>
          <w:sz w:val="30"/>
        </w:rPr>
        <w:t>年度无机关运行经费支出。</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（二）政府采购支出情况</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 2018 </w:t>
      </w:r>
      <w:r>
        <w:rPr>
          <w:rFonts w:ascii="仿宋" w:eastAsia="仿宋" w:hAnsi="仿宋" w:hint="eastAsia"/>
          <w:color w:val="000000"/>
          <w:sz w:val="30"/>
        </w:rPr>
        <w:t>年度政府采购金额（以合同签订为准）为</w:t>
      </w:r>
      <w:r>
        <w:rPr>
          <w:rFonts w:ascii="仿宋" w:eastAsia="仿宋" w:hAnsi="仿宋"/>
          <w:color w:val="000000"/>
          <w:sz w:val="30"/>
        </w:rPr>
        <w:t>712.67</w:t>
      </w:r>
      <w:r>
        <w:rPr>
          <w:rFonts w:ascii="仿宋" w:eastAsia="仿宋" w:hAnsi="仿宋" w:hint="eastAsia"/>
          <w:color w:val="000000"/>
          <w:sz w:val="30"/>
        </w:rPr>
        <w:t>万元，其中：货物采购金额</w:t>
      </w:r>
      <w:r>
        <w:rPr>
          <w:rFonts w:ascii="仿宋" w:eastAsia="仿宋" w:hAnsi="仿宋"/>
          <w:color w:val="000000"/>
          <w:sz w:val="30"/>
        </w:rPr>
        <w:t>672.64</w:t>
      </w:r>
      <w:r>
        <w:rPr>
          <w:rFonts w:ascii="仿宋" w:eastAsia="仿宋" w:hAnsi="仿宋" w:hint="eastAsia"/>
          <w:color w:val="000000"/>
          <w:sz w:val="30"/>
        </w:rPr>
        <w:t>万元、工程采购金额</w:t>
      </w:r>
      <w:r>
        <w:rPr>
          <w:rFonts w:ascii="仿宋" w:eastAsia="仿宋" w:hAnsi="仿宋"/>
          <w:color w:val="000000"/>
          <w:sz w:val="30"/>
        </w:rPr>
        <w:t>0.00</w:t>
      </w:r>
      <w:r>
        <w:rPr>
          <w:rFonts w:ascii="仿宋" w:eastAsia="仿宋" w:hAnsi="仿宋" w:hint="eastAsia"/>
          <w:color w:val="000000"/>
          <w:sz w:val="30"/>
        </w:rPr>
        <w:t>万元、服务采购金额</w:t>
      </w:r>
      <w:r>
        <w:rPr>
          <w:rFonts w:ascii="仿宋" w:eastAsia="仿宋" w:hAnsi="仿宋"/>
          <w:color w:val="000000"/>
          <w:sz w:val="30"/>
        </w:rPr>
        <w:t>40.03</w:t>
      </w:r>
      <w:r>
        <w:rPr>
          <w:rFonts w:ascii="仿宋" w:eastAsia="仿宋" w:hAnsi="仿宋" w:hint="eastAsia"/>
          <w:color w:val="000000"/>
          <w:sz w:val="30"/>
        </w:rPr>
        <w:t>万元。</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（三）车辆、房屋特殊占用情况</w:t>
      </w:r>
    </w:p>
    <w:p w:rsidR="00EA4432" w:rsidRDefault="00E51AEC">
      <w:pPr>
        <w:spacing w:line="760" w:lineRule="exact"/>
        <w:ind w:left="0" w:firstLineChars="200" w:firstLine="602"/>
        <w:jc w:val="left"/>
        <w:rPr>
          <w:rFonts w:ascii="楷体" w:eastAsia="楷体" w:hAnsi="楷体"/>
          <w:sz w:val="30"/>
          <w:szCs w:val="30"/>
        </w:rPr>
      </w:pPr>
      <w:r>
        <w:rPr>
          <w:rFonts w:ascii="楷体" w:eastAsia="楷体" w:hAnsi="楷体"/>
          <w:b/>
          <w:color w:val="000000"/>
          <w:sz w:val="30"/>
          <w:szCs w:val="30"/>
        </w:rPr>
        <w:t xml:space="preserve"> 1. </w:t>
      </w:r>
      <w:r>
        <w:rPr>
          <w:rFonts w:ascii="楷体" w:eastAsia="楷体" w:hAnsi="楷体" w:hint="eastAsia"/>
          <w:b/>
          <w:color w:val="000000"/>
          <w:sz w:val="30"/>
          <w:szCs w:val="30"/>
        </w:rPr>
        <w:t>车辆</w:t>
      </w:r>
    </w:p>
    <w:p w:rsidR="00EA4432" w:rsidRDefault="00E51AEC">
      <w:pPr>
        <w:spacing w:line="760" w:lineRule="exact"/>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 2018 </w:t>
      </w:r>
      <w:r>
        <w:rPr>
          <w:rFonts w:ascii="仿宋" w:eastAsia="仿宋" w:hAnsi="仿宋" w:hint="eastAsia"/>
          <w:color w:val="000000"/>
          <w:sz w:val="30"/>
        </w:rPr>
        <w:t>年度无车辆特殊占用情况说明。</w:t>
      </w:r>
    </w:p>
    <w:p w:rsidR="00EA4432" w:rsidRDefault="00E51AEC">
      <w:pPr>
        <w:spacing w:line="760" w:lineRule="exact"/>
        <w:ind w:left="0" w:firstLineChars="200" w:firstLine="602"/>
        <w:jc w:val="left"/>
        <w:rPr>
          <w:rFonts w:ascii="楷体" w:eastAsia="楷体" w:hAnsi="楷体"/>
          <w:sz w:val="30"/>
          <w:szCs w:val="30"/>
        </w:rPr>
      </w:pPr>
      <w:r>
        <w:rPr>
          <w:rFonts w:ascii="楷体" w:eastAsia="楷体" w:hAnsi="楷体"/>
          <w:b/>
          <w:color w:val="000000"/>
          <w:sz w:val="30"/>
          <w:szCs w:val="30"/>
        </w:rPr>
        <w:t xml:space="preserve">2. </w:t>
      </w:r>
      <w:r>
        <w:rPr>
          <w:rFonts w:ascii="楷体" w:eastAsia="楷体" w:hAnsi="楷体" w:hint="eastAsia"/>
          <w:b/>
          <w:color w:val="000000"/>
          <w:sz w:val="30"/>
          <w:szCs w:val="30"/>
        </w:rPr>
        <w:t>房屋</w:t>
      </w:r>
    </w:p>
    <w:p w:rsidR="00EA4432" w:rsidRDefault="00E51AEC">
      <w:pPr>
        <w:spacing w:line="760" w:lineRule="exact"/>
        <w:ind w:left="0" w:firstLineChars="200" w:firstLine="600"/>
        <w:jc w:val="left"/>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 2018 </w:t>
      </w:r>
      <w:r>
        <w:rPr>
          <w:rFonts w:ascii="仿宋" w:eastAsia="仿宋" w:hAnsi="仿宋" w:hint="eastAsia"/>
          <w:color w:val="000000"/>
          <w:sz w:val="30"/>
        </w:rPr>
        <w:t>年度无房屋特殊占用情况说明。</w:t>
      </w:r>
    </w:p>
    <w:p w:rsidR="00EA4432" w:rsidRDefault="00E51AEC">
      <w:pPr>
        <w:ind w:left="0" w:firstLineChars="200" w:firstLine="602"/>
        <w:jc w:val="left"/>
        <w:rPr>
          <w:rFonts w:ascii="楷体" w:eastAsia="楷体" w:hAnsi="楷体"/>
          <w:sz w:val="30"/>
          <w:szCs w:val="30"/>
        </w:rPr>
      </w:pPr>
      <w:r>
        <w:rPr>
          <w:rFonts w:ascii="楷体" w:eastAsia="楷体" w:hAnsi="楷体" w:hint="eastAsia"/>
          <w:b/>
          <w:color w:val="000000"/>
          <w:sz w:val="30"/>
          <w:szCs w:val="30"/>
        </w:rPr>
        <w:t>（四）预算绩效管理情况</w:t>
      </w:r>
    </w:p>
    <w:p w:rsidR="00EA4432" w:rsidRDefault="00E51AEC">
      <w:pPr>
        <w:ind w:left="0" w:firstLineChars="200" w:firstLine="600"/>
        <w:rPr>
          <w:rFonts w:ascii="仿宋" w:eastAsia="仿宋" w:hAnsi="仿宋"/>
        </w:rPr>
      </w:pPr>
      <w:r>
        <w:rPr>
          <w:rFonts w:ascii="仿宋" w:eastAsia="仿宋" w:hAnsi="仿宋" w:hint="eastAsia"/>
          <w:color w:val="000000"/>
          <w:sz w:val="30"/>
        </w:rPr>
        <w:t>刘海粟美术馆</w:t>
      </w:r>
      <w:r>
        <w:rPr>
          <w:rFonts w:ascii="仿宋" w:eastAsia="仿宋" w:hAnsi="仿宋"/>
          <w:color w:val="000000"/>
          <w:sz w:val="30"/>
        </w:rPr>
        <w:t xml:space="preserve"> 2018 </w:t>
      </w:r>
      <w:r>
        <w:rPr>
          <w:rFonts w:ascii="仿宋" w:eastAsia="仿宋" w:hAnsi="仿宋" w:hint="eastAsia"/>
          <w:color w:val="000000"/>
          <w:sz w:val="30"/>
        </w:rPr>
        <w:t>年度预算绩效管理工作开展情况如下：执行了上海市财政局关于印发《上海市</w:t>
      </w:r>
      <w:r>
        <w:rPr>
          <w:rFonts w:ascii="仿宋" w:eastAsia="仿宋" w:hAnsi="仿宋"/>
          <w:color w:val="000000"/>
          <w:sz w:val="30"/>
        </w:rPr>
        <w:t>2017-2018</w:t>
      </w:r>
      <w:r>
        <w:rPr>
          <w:rFonts w:ascii="仿宋" w:eastAsia="仿宋" w:hAnsi="仿宋" w:hint="eastAsia"/>
          <w:color w:val="000000"/>
          <w:sz w:val="30"/>
        </w:rPr>
        <w:t>年度“预算绩效管理服务”定点供应商名单》的通知和《</w:t>
      </w:r>
      <w:r>
        <w:rPr>
          <w:rFonts w:ascii="仿宋" w:eastAsia="仿宋" w:hAnsi="仿宋"/>
          <w:color w:val="000000"/>
          <w:sz w:val="30"/>
        </w:rPr>
        <w:t>2018</w:t>
      </w:r>
      <w:r>
        <w:rPr>
          <w:rFonts w:ascii="仿宋" w:eastAsia="仿宋" w:hAnsi="仿宋" w:hint="eastAsia"/>
          <w:color w:val="000000"/>
          <w:sz w:val="30"/>
        </w:rPr>
        <w:t>年预算绩效管理工作要点》的通知，建立了预算资金、文化资金预</w:t>
      </w:r>
      <w:r>
        <w:rPr>
          <w:rFonts w:ascii="仿宋" w:eastAsia="仿宋" w:hAnsi="仿宋" w:hint="eastAsia"/>
          <w:color w:val="000000"/>
          <w:sz w:val="30"/>
        </w:rPr>
        <w:lastRenderedPageBreak/>
        <w:t>算绩效管理工作机制；全过程绩效管理实施情况：</w:t>
      </w:r>
      <w:r>
        <w:rPr>
          <w:rFonts w:ascii="仿宋" w:eastAsia="仿宋" w:hAnsi="仿宋"/>
          <w:color w:val="000000"/>
          <w:sz w:val="30"/>
        </w:rPr>
        <w:t>2018</w:t>
      </w:r>
      <w:r>
        <w:rPr>
          <w:rFonts w:ascii="仿宋" w:eastAsia="仿宋" w:hAnsi="仿宋" w:hint="eastAsia"/>
          <w:color w:val="000000"/>
          <w:sz w:val="30"/>
        </w:rPr>
        <w:t>年度开展的绩效跟踪评价项目</w:t>
      </w:r>
      <w:r>
        <w:rPr>
          <w:rFonts w:ascii="仿宋" w:eastAsia="仿宋" w:hAnsi="仿宋"/>
          <w:color w:val="000000"/>
          <w:sz w:val="30"/>
        </w:rPr>
        <w:t>2</w:t>
      </w:r>
      <w:r>
        <w:rPr>
          <w:rFonts w:ascii="仿宋" w:eastAsia="仿宋" w:hAnsi="仿宋" w:hint="eastAsia"/>
          <w:color w:val="000000"/>
          <w:sz w:val="30"/>
        </w:rPr>
        <w:t>个，涉及预算金额</w:t>
      </w:r>
      <w:r>
        <w:rPr>
          <w:rFonts w:ascii="仿宋" w:eastAsia="仿宋" w:hAnsi="仿宋"/>
          <w:color w:val="000000"/>
          <w:sz w:val="30"/>
        </w:rPr>
        <w:t>1,258.60</w:t>
      </w:r>
      <w:r>
        <w:rPr>
          <w:rFonts w:ascii="仿宋" w:eastAsia="仿宋" w:hAnsi="仿宋" w:hint="eastAsia"/>
          <w:color w:val="000000"/>
          <w:sz w:val="30"/>
        </w:rPr>
        <w:t>万元。</w:t>
      </w:r>
    </w:p>
    <w:p w:rsidR="00EA4432" w:rsidRDefault="00EA4432">
      <w:pPr>
        <w:ind w:left="0" w:firstLine="0"/>
        <w:jc w:val="center"/>
      </w:pPr>
    </w:p>
    <w:p w:rsidR="00EA4432" w:rsidRDefault="00E51AEC">
      <w:r>
        <w:br w:type="page"/>
      </w:r>
    </w:p>
    <w:p w:rsidR="00EA4432" w:rsidRDefault="00E51AEC">
      <w:pPr>
        <w:ind w:left="0" w:firstLine="0"/>
        <w:jc w:val="center"/>
      </w:pPr>
      <w:r>
        <w:rPr>
          <w:rFonts w:ascii="黑体" w:eastAsia="黑体" w:hAnsi="宋体" w:hint="eastAsia"/>
          <w:color w:val="000000"/>
          <w:sz w:val="30"/>
        </w:rPr>
        <w:t>第四部分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名词解释</w:t>
      </w:r>
    </w:p>
    <w:p w:rsidR="00EA4432" w:rsidRDefault="00EA4432">
      <w:pPr>
        <w:ind w:left="0" w:firstLineChars="200" w:firstLine="420"/>
        <w:jc w:val="left"/>
      </w:pPr>
    </w:p>
    <w:p w:rsidR="00EA4432" w:rsidRDefault="00E51AEC">
      <w:pPr>
        <w:ind w:left="0" w:firstLineChars="200" w:firstLine="600"/>
        <w:jc w:val="left"/>
        <w:rPr>
          <w:rFonts w:ascii="仿宋" w:eastAsia="仿宋" w:hAnsi="仿宋"/>
          <w:color w:val="000000"/>
          <w:sz w:val="30"/>
        </w:rPr>
      </w:pPr>
      <w:r>
        <w:rPr>
          <w:rFonts w:ascii="仿宋" w:eastAsia="仿宋" w:hAnsi="仿宋" w:hint="eastAsia"/>
          <w:color w:val="000000"/>
          <w:sz w:val="30"/>
        </w:rPr>
        <w:t>一、财政拨款收入：指单位本年度从本级财政部门取得的财政拨款，包括一般公共预算财政拨款和政府性基金预算财政拨款。</w:t>
      </w:r>
    </w:p>
    <w:p w:rsidR="00EA4432" w:rsidRDefault="00E51AEC">
      <w:pPr>
        <w:ind w:left="0" w:firstLineChars="250" w:firstLine="750"/>
        <w:jc w:val="left"/>
        <w:rPr>
          <w:rFonts w:ascii="仿宋" w:eastAsia="仿宋" w:hAnsi="仿宋"/>
        </w:rPr>
      </w:pPr>
      <w:r>
        <w:rPr>
          <w:rFonts w:ascii="仿宋" w:eastAsia="仿宋" w:hAnsi="仿宋" w:hint="eastAsia"/>
          <w:color w:val="000000"/>
          <w:sz w:val="30"/>
        </w:rPr>
        <w:t>二、事业收入：指事业单位开展专业业务活动及其辅助活动取得的收入。主要是：展览收入等。</w:t>
      </w:r>
    </w:p>
    <w:p w:rsidR="00EA4432" w:rsidRDefault="00E51AEC">
      <w:pPr>
        <w:ind w:left="0" w:firstLineChars="200" w:firstLine="600"/>
        <w:jc w:val="left"/>
        <w:rPr>
          <w:rFonts w:ascii="仿宋" w:eastAsia="仿宋" w:hAnsi="仿宋"/>
          <w:color w:val="000000"/>
          <w:sz w:val="30"/>
        </w:rPr>
      </w:pPr>
      <w:r>
        <w:rPr>
          <w:rFonts w:ascii="仿宋" w:eastAsia="仿宋" w:hAnsi="仿宋" w:hint="eastAsia"/>
          <w:color w:val="000000"/>
          <w:sz w:val="30"/>
        </w:rPr>
        <w:t>三、经营收入：指事业单位在专业业务活动及其辅助活动之外开展非独立核算经营活动取得的收入。</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四、其他收入：指单位取得的除“财政拨款收入”、“事业收入”、“经营收入”等以外的收入。主要是：利息收入、租金收入等。</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五、年初结转和结余：指以前年度尚未完成、结转到本年按有关规定继续使用的资金。</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六、年末结转和结余：指本年度或以前年度预算安排、因客观条件发生变化无法按原计划实施，需延迟到以后年度按有关规定继续使用的资金。</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七、基本支出：指单位为保障机构正常运转、完成日常工作任务而发生的各项支出。</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八、项目支出：指单位为完成特定的行政工作任务或事业发展目标，在基本支出之外发生的各项支出。</w:t>
      </w:r>
    </w:p>
    <w:p w:rsidR="00EA4432" w:rsidRDefault="00E51AEC">
      <w:pPr>
        <w:ind w:left="0" w:firstLineChars="150" w:firstLine="450"/>
        <w:jc w:val="left"/>
        <w:rPr>
          <w:rFonts w:ascii="仿宋" w:eastAsia="仿宋" w:hAnsi="仿宋"/>
        </w:rPr>
      </w:pPr>
      <w:r>
        <w:rPr>
          <w:rFonts w:ascii="仿宋" w:eastAsia="仿宋" w:hAnsi="仿宋" w:hint="eastAsia"/>
          <w:color w:val="000000"/>
          <w:sz w:val="30"/>
        </w:rPr>
        <w:t>九、经营支出：指事业单位在专业活动及辅助活动之外开展</w:t>
      </w:r>
      <w:r>
        <w:rPr>
          <w:rFonts w:ascii="仿宋" w:eastAsia="仿宋" w:hAnsi="仿宋" w:hint="eastAsia"/>
          <w:color w:val="000000"/>
          <w:sz w:val="30"/>
        </w:rPr>
        <w:lastRenderedPageBreak/>
        <w:t>非独立核算经营活动发生的支出。</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十、“三公”经费：指单位使用本级财政拨款安排的因公出国（境）费、公务用车购置及运行费和公务接待费。其中</w:t>
      </w:r>
      <w:r>
        <w:rPr>
          <w:rFonts w:ascii="仿宋" w:eastAsia="仿宋" w:hAnsi="仿宋"/>
          <w:color w:val="000000"/>
          <w:sz w:val="30"/>
        </w:rPr>
        <w:t>:</w:t>
      </w:r>
      <w:r>
        <w:rPr>
          <w:rFonts w:ascii="仿宋" w:eastAsia="仿宋" w:hAnsi="仿宋" w:hint="eastAsia"/>
          <w:color w:val="000000"/>
          <w:sz w:val="30"/>
        </w:rPr>
        <w:t>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费反映编制内公务车辆的报废更新，以及用于安排市内因公出差、公务文件交换、日常工作开展等所需公务用车燃料费、维修费、过路过桥费、保险费等支出。</w:t>
      </w:r>
    </w:p>
    <w:p w:rsidR="00EA4432" w:rsidRDefault="00E51AEC">
      <w:pPr>
        <w:ind w:left="0" w:firstLineChars="200" w:firstLine="600"/>
        <w:jc w:val="left"/>
        <w:rPr>
          <w:rFonts w:ascii="仿宋" w:eastAsia="仿宋" w:hAnsi="仿宋"/>
        </w:rPr>
      </w:pPr>
      <w:r>
        <w:rPr>
          <w:rFonts w:ascii="仿宋" w:eastAsia="仿宋" w:hAnsi="仿宋" w:hint="eastAsia"/>
          <w:color w:val="000000"/>
          <w:sz w:val="30"/>
        </w:rPr>
        <w:t>十一、机关运行经费：指行政单位和参照公务员法管理的事业单位使用一般公共预算财政拨款安排的基本支出中的日常公用经费支出。</w:t>
      </w:r>
    </w:p>
    <w:p w:rsidR="00EA4432" w:rsidRDefault="00EA4432">
      <w:pPr>
        <w:ind w:left="0" w:firstLine="0"/>
        <w:jc w:val="left"/>
      </w:pPr>
    </w:p>
    <w:sectPr w:rsidR="00EA4432" w:rsidSect="00EA4432">
      <w:pgSz w:w="11906" w:h="16838"/>
      <w:pgMar w:top="1440" w:right="1797" w:bottom="1440" w:left="1797" w:header="850" w:footer="95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AEC" w:rsidRDefault="00E51AEC" w:rsidP="001D6716">
      <w:r>
        <w:separator/>
      </w:r>
    </w:p>
  </w:endnote>
  <w:endnote w:type="continuationSeparator" w:id="0">
    <w:p w:rsidR="00E51AEC" w:rsidRDefault="00E51AEC" w:rsidP="001D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AEC" w:rsidRDefault="00E51AEC" w:rsidP="001D6716">
      <w:r>
        <w:separator/>
      </w:r>
    </w:p>
  </w:footnote>
  <w:footnote w:type="continuationSeparator" w:id="0">
    <w:p w:rsidR="00E51AEC" w:rsidRDefault="00E51AEC" w:rsidP="001D6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0478"/>
    <w:multiLevelType w:val="multilevel"/>
    <w:tmpl w:val="06F80478"/>
    <w:lvl w:ilvl="0">
      <w:start w:val="1"/>
      <w:numFmt w:val="lowerLetter"/>
      <w:pStyle w:val="17"/>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
    <w:nsid w:val="0C89246C"/>
    <w:multiLevelType w:val="multilevel"/>
    <w:tmpl w:val="0C89246C"/>
    <w:lvl w:ilvl="0">
      <w:start w:val="1"/>
      <w:numFmt w:val="lowerLetter"/>
      <w:pStyle w:val="11"/>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
    <w:nsid w:val="0D162AB7"/>
    <w:multiLevelType w:val="multilevel"/>
    <w:tmpl w:val="0D162AB7"/>
    <w:lvl w:ilvl="0">
      <w:start w:val="1"/>
      <w:numFmt w:val="decimal"/>
      <w:pStyle w:val="20"/>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3">
    <w:nsid w:val="0EFC1DE8"/>
    <w:multiLevelType w:val="multilevel"/>
    <w:tmpl w:val="0EFC1DE8"/>
    <w:lvl w:ilvl="0">
      <w:start w:val="1"/>
      <w:numFmt w:val="lowerRoman"/>
      <w:pStyle w:val="13"/>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4">
    <w:nsid w:val="0F89325A"/>
    <w:multiLevelType w:val="multilevel"/>
    <w:tmpl w:val="0F89325A"/>
    <w:lvl w:ilvl="0">
      <w:start w:val="1"/>
      <w:numFmt w:val="chineseCountingThousand"/>
      <w:pStyle w:val="3"/>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5">
    <w:nsid w:val="1353089F"/>
    <w:multiLevelType w:val="multilevel"/>
    <w:tmpl w:val="1353089F"/>
    <w:lvl w:ilvl="0">
      <w:start w:val="1"/>
      <w:numFmt w:val="upperRoman"/>
      <w:pStyle w:val="30"/>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6">
    <w:nsid w:val="1A2947A4"/>
    <w:multiLevelType w:val="multilevel"/>
    <w:tmpl w:val="1A2947A4"/>
    <w:lvl w:ilvl="0">
      <w:start w:val="1"/>
      <w:numFmt w:val="lowerRoman"/>
      <w:pStyle w:val="19"/>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7">
    <w:nsid w:val="21D93A5C"/>
    <w:multiLevelType w:val="multilevel"/>
    <w:tmpl w:val="21D93A5C"/>
    <w:lvl w:ilvl="0">
      <w:start w:val="1"/>
      <w:numFmt w:val="chineseCountingThousand"/>
      <w:pStyle w:val="15"/>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8">
    <w:nsid w:val="227069AC"/>
    <w:multiLevelType w:val="multilevel"/>
    <w:tmpl w:val="227069AC"/>
    <w:lvl w:ilvl="0">
      <w:start w:val="1"/>
      <w:numFmt w:val="upperLetter"/>
      <w:pStyle w:val="22"/>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9">
    <w:nsid w:val="2F1034A3"/>
    <w:multiLevelType w:val="multilevel"/>
    <w:tmpl w:val="2F1034A3"/>
    <w:lvl w:ilvl="0">
      <w:start w:val="1"/>
      <w:numFmt w:val="lowerLetter"/>
      <w:pStyle w:val="23"/>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0">
    <w:nsid w:val="2F5B7434"/>
    <w:multiLevelType w:val="multilevel"/>
    <w:tmpl w:val="2F5B7434"/>
    <w:lvl w:ilvl="0">
      <w:start w:val="1"/>
      <w:numFmt w:val="upperLetter"/>
      <w:pStyle w:val="16"/>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1">
    <w:nsid w:val="30072A41"/>
    <w:multiLevelType w:val="multilevel"/>
    <w:tmpl w:val="30072A41"/>
    <w:lvl w:ilvl="0">
      <w:start w:val="1"/>
      <w:numFmt w:val="chineseCountingThousand"/>
      <w:pStyle w:val="27"/>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2">
    <w:nsid w:val="3C210087"/>
    <w:multiLevelType w:val="multilevel"/>
    <w:tmpl w:val="3C210087"/>
    <w:lvl w:ilvl="0">
      <w:start w:val="1"/>
      <w:numFmt w:val="upperRoman"/>
      <w:pStyle w:val="6"/>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3">
    <w:nsid w:val="3F277ACD"/>
    <w:multiLevelType w:val="multilevel"/>
    <w:tmpl w:val="3F277ACD"/>
    <w:lvl w:ilvl="0">
      <w:start w:val="1"/>
      <w:numFmt w:val="decimal"/>
      <w:pStyle w:val="26"/>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4">
    <w:nsid w:val="45BA3CB8"/>
    <w:multiLevelType w:val="multilevel"/>
    <w:tmpl w:val="45BA3CB8"/>
    <w:lvl w:ilvl="0">
      <w:start w:val="1"/>
      <w:numFmt w:val="lowerRoman"/>
      <w:pStyle w:val="25"/>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5">
    <w:nsid w:val="48441C83"/>
    <w:multiLevelType w:val="multilevel"/>
    <w:tmpl w:val="48441C83"/>
    <w:lvl w:ilvl="0">
      <w:start w:val="1"/>
      <w:numFmt w:val="upperRoman"/>
      <w:pStyle w:val="18"/>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6">
    <w:nsid w:val="48D258B5"/>
    <w:multiLevelType w:val="multilevel"/>
    <w:tmpl w:val="48D258B5"/>
    <w:lvl w:ilvl="0">
      <w:start w:val="1"/>
      <w:numFmt w:val="decimal"/>
      <w:pStyle w:val="8"/>
      <w:lvlText w:val="%1."/>
      <w:lvlJc w:val="left"/>
      <w:pPr>
        <w:ind w:left="704" w:hanging="420"/>
      </w:pPr>
      <w:rPr>
        <w:rFonts w:cs="Times New Roman" w:hint="eastAsia"/>
        <w:sz w:val="72"/>
        <w:szCs w:val="72"/>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7">
    <w:nsid w:val="4BCC1CF2"/>
    <w:multiLevelType w:val="multilevel"/>
    <w:tmpl w:val="4BCC1CF2"/>
    <w:lvl w:ilvl="0">
      <w:start w:val="1"/>
      <w:numFmt w:val="lowerRoman"/>
      <w:pStyle w:val="31"/>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8">
    <w:nsid w:val="4C022313"/>
    <w:multiLevelType w:val="multilevel"/>
    <w:tmpl w:val="4C022313"/>
    <w:lvl w:ilvl="0">
      <w:start w:val="1"/>
      <w:numFmt w:val="upperLetter"/>
      <w:pStyle w:val="28"/>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19">
    <w:nsid w:val="4E793448"/>
    <w:multiLevelType w:val="multilevel"/>
    <w:tmpl w:val="4E793448"/>
    <w:lvl w:ilvl="0">
      <w:start w:val="1"/>
      <w:numFmt w:val="lowerLetter"/>
      <w:pStyle w:val="29"/>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0">
    <w:nsid w:val="56361809"/>
    <w:multiLevelType w:val="multilevel"/>
    <w:tmpl w:val="56361809"/>
    <w:lvl w:ilvl="0">
      <w:start w:val="1"/>
      <w:numFmt w:val="upperLetter"/>
      <w:pStyle w:val="10"/>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1">
    <w:nsid w:val="57D67E27"/>
    <w:multiLevelType w:val="multilevel"/>
    <w:tmpl w:val="57D67E27"/>
    <w:lvl w:ilvl="0">
      <w:start w:val="1"/>
      <w:numFmt w:val="decimal"/>
      <w:pStyle w:val="2"/>
      <w:lvlText w:val="%1."/>
      <w:lvlJc w:val="left"/>
      <w:pPr>
        <w:ind w:left="704" w:hanging="420"/>
      </w:pPr>
      <w:rPr>
        <w:rFonts w:cs="Times New Roman" w:hint="eastAsia"/>
        <w:sz w:val="96"/>
        <w:szCs w:val="96"/>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2">
    <w:nsid w:val="5A181799"/>
    <w:multiLevelType w:val="multilevel"/>
    <w:tmpl w:val="5A181799"/>
    <w:lvl w:ilvl="0">
      <w:start w:val="1"/>
      <w:numFmt w:val="lowerLetter"/>
      <w:pStyle w:val="5"/>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3">
    <w:nsid w:val="5FA0565C"/>
    <w:multiLevelType w:val="multilevel"/>
    <w:tmpl w:val="5FA0565C"/>
    <w:lvl w:ilvl="0">
      <w:start w:val="1"/>
      <w:numFmt w:val="lowerRoman"/>
      <w:pStyle w:val="7"/>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4">
    <w:nsid w:val="602D6C19"/>
    <w:multiLevelType w:val="multilevel"/>
    <w:tmpl w:val="602D6C19"/>
    <w:lvl w:ilvl="0">
      <w:start w:val="1"/>
      <w:numFmt w:val="upperLetter"/>
      <w:pStyle w:val="4"/>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5">
    <w:nsid w:val="638B253F"/>
    <w:multiLevelType w:val="multilevel"/>
    <w:tmpl w:val="638B253F"/>
    <w:lvl w:ilvl="0">
      <w:start w:val="1"/>
      <w:numFmt w:val="upperRoman"/>
      <w:pStyle w:val="12"/>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6">
    <w:nsid w:val="64F12C63"/>
    <w:multiLevelType w:val="multilevel"/>
    <w:tmpl w:val="64F12C63"/>
    <w:lvl w:ilvl="0">
      <w:start w:val="1"/>
      <w:numFmt w:val="chineseCountingThousand"/>
      <w:pStyle w:val="21"/>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7">
    <w:nsid w:val="67D9330E"/>
    <w:multiLevelType w:val="multilevel"/>
    <w:tmpl w:val="67D9330E"/>
    <w:lvl w:ilvl="0">
      <w:start w:val="1"/>
      <w:numFmt w:val="decimal"/>
      <w:pStyle w:val="14"/>
      <w:lvlText w:val="%1."/>
      <w:lvlJc w:val="left"/>
      <w:pPr>
        <w:ind w:left="704" w:hanging="420"/>
      </w:pPr>
      <w:rPr>
        <w:rFonts w:cs="Times New Roman" w:hint="eastAsia"/>
        <w:sz w:val="56"/>
        <w:szCs w:val="56"/>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8">
    <w:nsid w:val="6AF34339"/>
    <w:multiLevelType w:val="multilevel"/>
    <w:tmpl w:val="6AF34339"/>
    <w:lvl w:ilvl="0">
      <w:start w:val="1"/>
      <w:numFmt w:val="upperRoman"/>
      <w:pStyle w:val="24"/>
      <w:lvlText w:val="%1."/>
      <w:lvlJc w:val="left"/>
      <w:pPr>
        <w:ind w:left="704" w:hanging="420"/>
      </w:pPr>
      <w:rPr>
        <w:rFonts w:cs="Times New Roman" w:hint="eastAsia"/>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29">
    <w:nsid w:val="7C73237E"/>
    <w:multiLevelType w:val="multilevel"/>
    <w:tmpl w:val="7C73237E"/>
    <w:lvl w:ilvl="0">
      <w:start w:val="1"/>
      <w:numFmt w:val="chineseCountingThousand"/>
      <w:pStyle w:val="9"/>
      <w:lvlText w:val="%1、"/>
      <w:lvlJc w:val="left"/>
      <w:pPr>
        <w:ind w:left="704" w:hanging="420"/>
      </w:pPr>
      <w:rPr>
        <w:rFonts w:cs="Times New Roman"/>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num w:numId="1">
    <w:abstractNumId w:val="21"/>
  </w:num>
  <w:num w:numId="2">
    <w:abstractNumId w:val="4"/>
  </w:num>
  <w:num w:numId="3">
    <w:abstractNumId w:val="24"/>
  </w:num>
  <w:num w:numId="4">
    <w:abstractNumId w:val="22"/>
  </w:num>
  <w:num w:numId="5">
    <w:abstractNumId w:val="12"/>
  </w:num>
  <w:num w:numId="6">
    <w:abstractNumId w:val="23"/>
  </w:num>
  <w:num w:numId="7">
    <w:abstractNumId w:val="16"/>
  </w:num>
  <w:num w:numId="8">
    <w:abstractNumId w:val="29"/>
  </w:num>
  <w:num w:numId="9">
    <w:abstractNumId w:val="20"/>
  </w:num>
  <w:num w:numId="10">
    <w:abstractNumId w:val="1"/>
  </w:num>
  <w:num w:numId="11">
    <w:abstractNumId w:val="25"/>
  </w:num>
  <w:num w:numId="12">
    <w:abstractNumId w:val="3"/>
  </w:num>
  <w:num w:numId="13">
    <w:abstractNumId w:val="27"/>
  </w:num>
  <w:num w:numId="14">
    <w:abstractNumId w:val="7"/>
  </w:num>
  <w:num w:numId="15">
    <w:abstractNumId w:val="10"/>
  </w:num>
  <w:num w:numId="16">
    <w:abstractNumId w:val="0"/>
  </w:num>
  <w:num w:numId="17">
    <w:abstractNumId w:val="15"/>
  </w:num>
  <w:num w:numId="18">
    <w:abstractNumId w:val="6"/>
  </w:num>
  <w:num w:numId="19">
    <w:abstractNumId w:val="2"/>
  </w:num>
  <w:num w:numId="20">
    <w:abstractNumId w:val="26"/>
  </w:num>
  <w:num w:numId="21">
    <w:abstractNumId w:val="8"/>
  </w:num>
  <w:num w:numId="22">
    <w:abstractNumId w:val="9"/>
  </w:num>
  <w:num w:numId="23">
    <w:abstractNumId w:val="28"/>
  </w:num>
  <w:num w:numId="24">
    <w:abstractNumId w:val="14"/>
  </w:num>
  <w:num w:numId="25">
    <w:abstractNumId w:val="13"/>
  </w:num>
  <w:num w:numId="26">
    <w:abstractNumId w:val="11"/>
  </w:num>
  <w:num w:numId="27">
    <w:abstractNumId w:val="18"/>
  </w:num>
  <w:num w:numId="28">
    <w:abstractNumId w:val="19"/>
  </w:num>
  <w:num w:numId="29">
    <w:abstractNumId w:val="5"/>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characterSpacingControl w:val="doNotCompress"/>
  <w:noLineBreaksAfter w:lang="zh-CN" w:val="$([{£¥·‘“〈《「『【〔〖〝﹙﹛﹝＄（．［｛￡￥"/>
  <w:noLineBreaksBefore w:lang="zh-CN" w:val="!%),.:;&gt;?]}¢¨°·ˇˉ―‖’”…‰′″›℃∶、。〃〉》」』】〕〗〞︶︺︾﹀﹄﹚﹜﹞！＂％＇），．：；？］｀｜｝～￠"/>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266F"/>
    <w:rsid w:val="00051E1A"/>
    <w:rsid w:val="000575A4"/>
    <w:rsid w:val="00093A33"/>
    <w:rsid w:val="000A3E9B"/>
    <w:rsid w:val="000E4CC0"/>
    <w:rsid w:val="0012167D"/>
    <w:rsid w:val="0013222D"/>
    <w:rsid w:val="001648E0"/>
    <w:rsid w:val="001A176D"/>
    <w:rsid w:val="001D6716"/>
    <w:rsid w:val="001E7C54"/>
    <w:rsid w:val="0020700C"/>
    <w:rsid w:val="00254D1B"/>
    <w:rsid w:val="002F07BF"/>
    <w:rsid w:val="00327E3D"/>
    <w:rsid w:val="003308EE"/>
    <w:rsid w:val="003A740F"/>
    <w:rsid w:val="003F01C0"/>
    <w:rsid w:val="00423EE0"/>
    <w:rsid w:val="00464113"/>
    <w:rsid w:val="00474DAF"/>
    <w:rsid w:val="004A22FC"/>
    <w:rsid w:val="004B4AE2"/>
    <w:rsid w:val="00564B55"/>
    <w:rsid w:val="00591E65"/>
    <w:rsid w:val="005A09EA"/>
    <w:rsid w:val="005C7DD0"/>
    <w:rsid w:val="005D0BD6"/>
    <w:rsid w:val="00604938"/>
    <w:rsid w:val="0066521D"/>
    <w:rsid w:val="00683BFA"/>
    <w:rsid w:val="00697CA6"/>
    <w:rsid w:val="006D100B"/>
    <w:rsid w:val="006E181E"/>
    <w:rsid w:val="00703614"/>
    <w:rsid w:val="0070682F"/>
    <w:rsid w:val="00740261"/>
    <w:rsid w:val="0076283A"/>
    <w:rsid w:val="007636BA"/>
    <w:rsid w:val="00816F9D"/>
    <w:rsid w:val="00874DE5"/>
    <w:rsid w:val="008946D3"/>
    <w:rsid w:val="008A00A2"/>
    <w:rsid w:val="008C156D"/>
    <w:rsid w:val="00A37620"/>
    <w:rsid w:val="00A6109D"/>
    <w:rsid w:val="00B157BB"/>
    <w:rsid w:val="00B7266F"/>
    <w:rsid w:val="00B77A6A"/>
    <w:rsid w:val="00BA3003"/>
    <w:rsid w:val="00BF33B8"/>
    <w:rsid w:val="00C05F01"/>
    <w:rsid w:val="00C171E6"/>
    <w:rsid w:val="00C46ABC"/>
    <w:rsid w:val="00C730BA"/>
    <w:rsid w:val="00C738D9"/>
    <w:rsid w:val="00CA30CE"/>
    <w:rsid w:val="00D5014E"/>
    <w:rsid w:val="00D77CC7"/>
    <w:rsid w:val="00D968D6"/>
    <w:rsid w:val="00DA3B3E"/>
    <w:rsid w:val="00DA5978"/>
    <w:rsid w:val="00E515AE"/>
    <w:rsid w:val="00E51AEC"/>
    <w:rsid w:val="00E60F41"/>
    <w:rsid w:val="00EA4432"/>
    <w:rsid w:val="00EF4A1C"/>
    <w:rsid w:val="00EF6731"/>
    <w:rsid w:val="00F034A2"/>
    <w:rsid w:val="00F42A9C"/>
    <w:rsid w:val="00F83F71"/>
    <w:rsid w:val="00F87CF8"/>
    <w:rsid w:val="00FA7B43"/>
    <w:rsid w:val="00FC5023"/>
    <w:rsid w:val="153C1D8C"/>
    <w:rsid w:val="2E816D12"/>
    <w:rsid w:val="5C852593"/>
    <w:rsid w:val="5CC266C7"/>
    <w:rsid w:val="680A32BD"/>
    <w:rsid w:val="7F3C5B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unhideWhenUsed="0"/>
    <w:lsdException w:name="footer" w:unhideWhenUsed="0"/>
    <w:lsdException w:name="index heading" w:locked="1"/>
    <w:lsdException w:name="caption" w:semiHidden="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nhideWhenUsed="0"/>
    <w:lsdException w:name="Table Theme" w:locked="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432"/>
    <w:pPr>
      <w:widowControl w:val="0"/>
      <w:ind w:left="641" w:hanging="357"/>
      <w:jc w:val="both"/>
    </w:pPr>
    <w:rPr>
      <w:rFonts w:ascii="Calibri" w:hAnsi="Calibri"/>
      <w:kern w:val="2"/>
      <w:sz w:val="21"/>
      <w:szCs w:val="22"/>
    </w:rPr>
  </w:style>
  <w:style w:type="paragraph" w:styleId="1">
    <w:name w:val="heading 1"/>
    <w:basedOn w:val="a"/>
    <w:next w:val="a"/>
    <w:link w:val="1Char"/>
    <w:uiPriority w:val="99"/>
    <w:qFormat/>
    <w:rsid w:val="00EA4432"/>
    <w:pPr>
      <w:keepNext/>
      <w:keepLines/>
      <w:spacing w:before="340" w:after="330" w:line="578" w:lineRule="auto"/>
      <w:outlineLvl w:val="0"/>
    </w:pPr>
    <w:rPr>
      <w:b/>
      <w:bCs/>
      <w:kern w:val="44"/>
      <w:sz w:val="44"/>
      <w:szCs w:val="44"/>
    </w:rPr>
  </w:style>
  <w:style w:type="paragraph" w:styleId="2a">
    <w:name w:val="heading 2"/>
    <w:basedOn w:val="a"/>
    <w:next w:val="a"/>
    <w:link w:val="2Char"/>
    <w:uiPriority w:val="99"/>
    <w:qFormat/>
    <w:rsid w:val="00EA4432"/>
    <w:pPr>
      <w:keepNext/>
      <w:keepLines/>
      <w:spacing w:before="260" w:after="260" w:line="416" w:lineRule="auto"/>
      <w:outlineLvl w:val="1"/>
    </w:pPr>
    <w:rPr>
      <w:rFonts w:ascii="Cambria" w:hAnsi="Cambria"/>
      <w:b/>
      <w:bCs/>
      <w:sz w:val="32"/>
      <w:szCs w:val="32"/>
    </w:rPr>
  </w:style>
  <w:style w:type="paragraph" w:styleId="32">
    <w:name w:val="heading 3"/>
    <w:basedOn w:val="a"/>
    <w:next w:val="a"/>
    <w:link w:val="3Char"/>
    <w:uiPriority w:val="99"/>
    <w:qFormat/>
    <w:rsid w:val="00EA4432"/>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9"/>
    <w:qFormat/>
    <w:rsid w:val="00EA4432"/>
    <w:pPr>
      <w:keepNext/>
      <w:keepLines/>
      <w:spacing w:before="280" w:after="290" w:line="376" w:lineRule="auto"/>
      <w:outlineLvl w:val="3"/>
    </w:pPr>
    <w:rPr>
      <w:rFonts w:ascii="Cambria" w:hAnsi="Cambria"/>
      <w:b/>
      <w:bCs/>
      <w:sz w:val="28"/>
      <w:szCs w:val="28"/>
    </w:rPr>
  </w:style>
  <w:style w:type="paragraph" w:styleId="50">
    <w:name w:val="heading 5"/>
    <w:basedOn w:val="a"/>
    <w:next w:val="a"/>
    <w:link w:val="5Char"/>
    <w:uiPriority w:val="99"/>
    <w:qFormat/>
    <w:rsid w:val="00EA4432"/>
    <w:pPr>
      <w:keepNext/>
      <w:keepLines/>
      <w:spacing w:before="280" w:after="290" w:line="376" w:lineRule="auto"/>
      <w:outlineLvl w:val="4"/>
    </w:pPr>
    <w:rPr>
      <w:b/>
      <w:bCs/>
      <w:sz w:val="28"/>
      <w:szCs w:val="28"/>
    </w:rPr>
  </w:style>
  <w:style w:type="paragraph" w:styleId="60">
    <w:name w:val="heading 6"/>
    <w:basedOn w:val="a"/>
    <w:next w:val="a"/>
    <w:link w:val="6Char"/>
    <w:uiPriority w:val="99"/>
    <w:qFormat/>
    <w:rsid w:val="00EA4432"/>
    <w:pPr>
      <w:keepNext/>
      <w:keepLines/>
      <w:spacing w:before="240" w:after="64" w:line="320" w:lineRule="auto"/>
      <w:outlineLvl w:val="5"/>
    </w:pPr>
    <w:rPr>
      <w:rFonts w:ascii="Cambria" w:hAnsi="Cambria"/>
      <w:b/>
      <w:bCs/>
      <w:sz w:val="24"/>
      <w:szCs w:val="24"/>
    </w:rPr>
  </w:style>
  <w:style w:type="paragraph" w:styleId="70">
    <w:name w:val="heading 7"/>
    <w:basedOn w:val="a"/>
    <w:next w:val="a"/>
    <w:link w:val="7Char"/>
    <w:uiPriority w:val="99"/>
    <w:qFormat/>
    <w:rsid w:val="00EA4432"/>
    <w:pPr>
      <w:keepNext/>
      <w:keepLines/>
      <w:spacing w:before="240" w:after="64" w:line="320" w:lineRule="auto"/>
      <w:outlineLvl w:val="6"/>
    </w:pPr>
    <w:rPr>
      <w:b/>
      <w:bCs/>
      <w:sz w:val="24"/>
      <w:szCs w:val="24"/>
    </w:rPr>
  </w:style>
  <w:style w:type="paragraph" w:styleId="80">
    <w:name w:val="heading 8"/>
    <w:basedOn w:val="a"/>
    <w:next w:val="a"/>
    <w:link w:val="8Char"/>
    <w:uiPriority w:val="99"/>
    <w:qFormat/>
    <w:rsid w:val="00EA4432"/>
    <w:pPr>
      <w:keepNext/>
      <w:keepLines/>
      <w:spacing w:before="240" w:after="64" w:line="320" w:lineRule="auto"/>
      <w:outlineLvl w:val="7"/>
    </w:pPr>
    <w:rPr>
      <w:rFonts w:ascii="Cambria" w:hAnsi="Cambria"/>
      <w:sz w:val="24"/>
      <w:szCs w:val="24"/>
    </w:rPr>
  </w:style>
  <w:style w:type="paragraph" w:styleId="90">
    <w:name w:val="heading 9"/>
    <w:basedOn w:val="a"/>
    <w:next w:val="a"/>
    <w:link w:val="9Char"/>
    <w:uiPriority w:val="99"/>
    <w:qFormat/>
    <w:rsid w:val="00EA4432"/>
    <w:pPr>
      <w:keepNext/>
      <w:keepLines/>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EA4432"/>
    <w:rPr>
      <w:rFonts w:ascii="Cambria" w:eastAsia="黑体" w:hAnsi="Cambria"/>
      <w:sz w:val="20"/>
      <w:szCs w:val="20"/>
    </w:rPr>
  </w:style>
  <w:style w:type="paragraph" w:styleId="a4">
    <w:name w:val="Balloon Text"/>
    <w:basedOn w:val="a"/>
    <w:link w:val="Char"/>
    <w:uiPriority w:val="99"/>
    <w:semiHidden/>
    <w:rsid w:val="00EA4432"/>
    <w:rPr>
      <w:sz w:val="18"/>
      <w:szCs w:val="18"/>
    </w:rPr>
  </w:style>
  <w:style w:type="paragraph" w:styleId="a5">
    <w:name w:val="footer"/>
    <w:basedOn w:val="a"/>
    <w:link w:val="Char0"/>
    <w:uiPriority w:val="99"/>
    <w:semiHidden/>
    <w:rsid w:val="00EA4432"/>
    <w:pPr>
      <w:tabs>
        <w:tab w:val="center" w:pos="4153"/>
        <w:tab w:val="right" w:pos="8306"/>
      </w:tabs>
      <w:snapToGrid w:val="0"/>
      <w:jc w:val="left"/>
    </w:pPr>
    <w:rPr>
      <w:sz w:val="18"/>
      <w:szCs w:val="18"/>
    </w:rPr>
  </w:style>
  <w:style w:type="paragraph" w:styleId="a6">
    <w:name w:val="header"/>
    <w:basedOn w:val="a"/>
    <w:link w:val="Char1"/>
    <w:uiPriority w:val="99"/>
    <w:semiHidden/>
    <w:rsid w:val="00EA4432"/>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2"/>
    <w:uiPriority w:val="99"/>
    <w:qFormat/>
    <w:rsid w:val="00EA4432"/>
    <w:pPr>
      <w:spacing w:before="240" w:after="60" w:line="312" w:lineRule="auto"/>
      <w:jc w:val="center"/>
      <w:outlineLvl w:val="1"/>
    </w:pPr>
    <w:rPr>
      <w:rFonts w:ascii="Cambria" w:hAnsi="Cambria"/>
      <w:b/>
      <w:bCs/>
      <w:kern w:val="28"/>
      <w:sz w:val="32"/>
      <w:szCs w:val="32"/>
    </w:rPr>
  </w:style>
  <w:style w:type="paragraph" w:styleId="a8">
    <w:name w:val="Title"/>
    <w:basedOn w:val="a"/>
    <w:next w:val="a"/>
    <w:link w:val="Char3"/>
    <w:uiPriority w:val="99"/>
    <w:qFormat/>
    <w:rsid w:val="00EA4432"/>
    <w:pPr>
      <w:spacing w:before="240" w:after="60"/>
      <w:jc w:val="center"/>
      <w:outlineLvl w:val="0"/>
    </w:pPr>
    <w:rPr>
      <w:rFonts w:ascii="Cambria" w:hAnsi="Cambria"/>
      <w:b/>
      <w:bCs/>
      <w:sz w:val="32"/>
      <w:szCs w:val="32"/>
    </w:rPr>
  </w:style>
  <w:style w:type="table" w:styleId="a9">
    <w:name w:val="Table Grid"/>
    <w:basedOn w:val="a1"/>
    <w:uiPriority w:val="99"/>
    <w:rsid w:val="00EA44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Strong"/>
    <w:basedOn w:val="a0"/>
    <w:uiPriority w:val="99"/>
    <w:qFormat/>
    <w:rsid w:val="00EA4432"/>
    <w:rPr>
      <w:rFonts w:cs="Times New Roman"/>
      <w:b/>
      <w:bCs/>
    </w:rPr>
  </w:style>
  <w:style w:type="character" w:styleId="ab">
    <w:name w:val="Emphasis"/>
    <w:basedOn w:val="a0"/>
    <w:uiPriority w:val="99"/>
    <w:qFormat/>
    <w:rsid w:val="00EA4432"/>
    <w:rPr>
      <w:rFonts w:cs="Times New Roman"/>
      <w:i/>
      <w:iCs/>
    </w:rPr>
  </w:style>
  <w:style w:type="character" w:customStyle="1" w:styleId="1Char">
    <w:name w:val="标题 1 Char"/>
    <w:basedOn w:val="a0"/>
    <w:link w:val="1"/>
    <w:uiPriority w:val="99"/>
    <w:locked/>
    <w:rsid w:val="00EA4432"/>
    <w:rPr>
      <w:rFonts w:cs="Times New Roman"/>
      <w:b/>
      <w:bCs/>
      <w:kern w:val="44"/>
      <w:sz w:val="44"/>
      <w:szCs w:val="44"/>
    </w:rPr>
  </w:style>
  <w:style w:type="character" w:customStyle="1" w:styleId="2Char">
    <w:name w:val="标题 2 Char"/>
    <w:basedOn w:val="a0"/>
    <w:link w:val="2a"/>
    <w:uiPriority w:val="99"/>
    <w:locked/>
    <w:rsid w:val="00EA4432"/>
    <w:rPr>
      <w:rFonts w:ascii="Cambria" w:eastAsia="宋体" w:hAnsi="Cambria" w:cs="Times New Roman"/>
      <w:b/>
      <w:bCs/>
      <w:sz w:val="32"/>
      <w:szCs w:val="32"/>
    </w:rPr>
  </w:style>
  <w:style w:type="character" w:customStyle="1" w:styleId="3Char">
    <w:name w:val="标题 3 Char"/>
    <w:basedOn w:val="a0"/>
    <w:link w:val="32"/>
    <w:uiPriority w:val="99"/>
    <w:locked/>
    <w:rsid w:val="00EA4432"/>
    <w:rPr>
      <w:rFonts w:cs="Times New Roman"/>
      <w:b/>
      <w:bCs/>
      <w:sz w:val="32"/>
      <w:szCs w:val="32"/>
    </w:rPr>
  </w:style>
  <w:style w:type="character" w:customStyle="1" w:styleId="4Char">
    <w:name w:val="标题 4 Char"/>
    <w:basedOn w:val="a0"/>
    <w:link w:val="40"/>
    <w:uiPriority w:val="99"/>
    <w:semiHidden/>
    <w:locked/>
    <w:rsid w:val="00EA4432"/>
    <w:rPr>
      <w:rFonts w:ascii="Cambria" w:eastAsia="宋体" w:hAnsi="Cambria" w:cs="Times New Roman"/>
      <w:b/>
      <w:bCs/>
      <w:sz w:val="28"/>
      <w:szCs w:val="28"/>
    </w:rPr>
  </w:style>
  <w:style w:type="character" w:customStyle="1" w:styleId="5Char">
    <w:name w:val="标题 5 Char"/>
    <w:basedOn w:val="a0"/>
    <w:link w:val="50"/>
    <w:uiPriority w:val="99"/>
    <w:semiHidden/>
    <w:qFormat/>
    <w:locked/>
    <w:rsid w:val="00EA4432"/>
    <w:rPr>
      <w:rFonts w:cs="Times New Roman"/>
      <w:b/>
      <w:bCs/>
      <w:sz w:val="28"/>
      <w:szCs w:val="28"/>
    </w:rPr>
  </w:style>
  <w:style w:type="character" w:customStyle="1" w:styleId="6Char">
    <w:name w:val="标题 6 Char"/>
    <w:basedOn w:val="a0"/>
    <w:link w:val="60"/>
    <w:uiPriority w:val="99"/>
    <w:semiHidden/>
    <w:qFormat/>
    <w:locked/>
    <w:rsid w:val="00EA4432"/>
    <w:rPr>
      <w:rFonts w:ascii="Cambria" w:eastAsia="宋体" w:hAnsi="Cambria" w:cs="Times New Roman"/>
      <w:b/>
      <w:bCs/>
      <w:sz w:val="24"/>
      <w:szCs w:val="24"/>
    </w:rPr>
  </w:style>
  <w:style w:type="character" w:customStyle="1" w:styleId="7Char">
    <w:name w:val="标题 7 Char"/>
    <w:basedOn w:val="a0"/>
    <w:link w:val="70"/>
    <w:uiPriority w:val="99"/>
    <w:semiHidden/>
    <w:qFormat/>
    <w:locked/>
    <w:rsid w:val="00EA4432"/>
    <w:rPr>
      <w:rFonts w:cs="Times New Roman"/>
      <w:b/>
      <w:bCs/>
      <w:sz w:val="24"/>
      <w:szCs w:val="24"/>
    </w:rPr>
  </w:style>
  <w:style w:type="character" w:customStyle="1" w:styleId="8Char">
    <w:name w:val="标题 8 Char"/>
    <w:basedOn w:val="a0"/>
    <w:link w:val="80"/>
    <w:uiPriority w:val="99"/>
    <w:semiHidden/>
    <w:qFormat/>
    <w:locked/>
    <w:rsid w:val="00EA4432"/>
    <w:rPr>
      <w:rFonts w:ascii="Cambria" w:eastAsia="宋体" w:hAnsi="Cambria" w:cs="Times New Roman"/>
      <w:sz w:val="24"/>
      <w:szCs w:val="24"/>
    </w:rPr>
  </w:style>
  <w:style w:type="character" w:customStyle="1" w:styleId="9Char">
    <w:name w:val="标题 9 Char"/>
    <w:basedOn w:val="a0"/>
    <w:link w:val="90"/>
    <w:uiPriority w:val="99"/>
    <w:semiHidden/>
    <w:qFormat/>
    <w:locked/>
    <w:rsid w:val="00EA4432"/>
    <w:rPr>
      <w:rFonts w:ascii="Cambria" w:eastAsia="宋体" w:hAnsi="Cambria" w:cs="Times New Roman"/>
      <w:sz w:val="21"/>
      <w:szCs w:val="21"/>
    </w:rPr>
  </w:style>
  <w:style w:type="character" w:customStyle="1" w:styleId="Char3">
    <w:name w:val="标题 Char"/>
    <w:basedOn w:val="a0"/>
    <w:link w:val="a8"/>
    <w:uiPriority w:val="99"/>
    <w:qFormat/>
    <w:locked/>
    <w:rsid w:val="00EA4432"/>
    <w:rPr>
      <w:rFonts w:ascii="Cambria" w:eastAsia="宋体" w:hAnsi="Cambria" w:cs="Times New Roman"/>
      <w:b/>
      <w:bCs/>
      <w:sz w:val="32"/>
      <w:szCs w:val="32"/>
    </w:rPr>
  </w:style>
  <w:style w:type="character" w:customStyle="1" w:styleId="Char2">
    <w:name w:val="副标题 Char"/>
    <w:basedOn w:val="a0"/>
    <w:link w:val="a7"/>
    <w:uiPriority w:val="99"/>
    <w:qFormat/>
    <w:locked/>
    <w:rsid w:val="00EA4432"/>
    <w:rPr>
      <w:rFonts w:ascii="Cambria" w:eastAsia="宋体" w:hAnsi="Cambria" w:cs="Times New Roman"/>
      <w:b/>
      <w:bCs/>
      <w:kern w:val="28"/>
      <w:sz w:val="32"/>
      <w:szCs w:val="32"/>
    </w:rPr>
  </w:style>
  <w:style w:type="paragraph" w:styleId="ac">
    <w:name w:val="No Spacing"/>
    <w:link w:val="Char4"/>
    <w:uiPriority w:val="99"/>
    <w:qFormat/>
    <w:rsid w:val="00EA4432"/>
    <w:pPr>
      <w:widowControl w:val="0"/>
      <w:ind w:left="641" w:hanging="357"/>
      <w:jc w:val="both"/>
    </w:pPr>
    <w:rPr>
      <w:rFonts w:ascii="Calibri" w:hAnsi="Calibri"/>
      <w:kern w:val="2"/>
      <w:sz w:val="21"/>
      <w:szCs w:val="22"/>
    </w:rPr>
  </w:style>
  <w:style w:type="character" w:customStyle="1" w:styleId="Char4">
    <w:name w:val="无间隔 Char"/>
    <w:basedOn w:val="a0"/>
    <w:link w:val="ac"/>
    <w:uiPriority w:val="99"/>
    <w:locked/>
    <w:rsid w:val="00EA4432"/>
    <w:rPr>
      <w:rFonts w:ascii="Calibri" w:hAnsi="Calibri"/>
      <w:kern w:val="2"/>
      <w:sz w:val="21"/>
      <w:szCs w:val="22"/>
      <w:lang w:val="en-US" w:eastAsia="zh-CN" w:bidi="ar-SA"/>
    </w:rPr>
  </w:style>
  <w:style w:type="paragraph" w:styleId="ad">
    <w:name w:val="List Paragraph"/>
    <w:basedOn w:val="a"/>
    <w:uiPriority w:val="99"/>
    <w:qFormat/>
    <w:rsid w:val="00EA4432"/>
    <w:pPr>
      <w:ind w:firstLineChars="200" w:firstLine="420"/>
    </w:pPr>
  </w:style>
  <w:style w:type="paragraph" w:styleId="ae">
    <w:name w:val="Quote"/>
    <w:basedOn w:val="a"/>
    <w:next w:val="a"/>
    <w:link w:val="Char5"/>
    <w:uiPriority w:val="99"/>
    <w:qFormat/>
    <w:rsid w:val="00EA4432"/>
    <w:rPr>
      <w:i/>
      <w:iCs/>
      <w:color w:val="000000"/>
    </w:rPr>
  </w:style>
  <w:style w:type="character" w:customStyle="1" w:styleId="Char5">
    <w:name w:val="引用 Char"/>
    <w:basedOn w:val="a0"/>
    <w:link w:val="ae"/>
    <w:uiPriority w:val="99"/>
    <w:locked/>
    <w:rsid w:val="00EA4432"/>
    <w:rPr>
      <w:rFonts w:cs="Times New Roman"/>
      <w:i/>
      <w:iCs/>
      <w:color w:val="000000"/>
    </w:rPr>
  </w:style>
  <w:style w:type="paragraph" w:styleId="af">
    <w:name w:val="Intense Quote"/>
    <w:basedOn w:val="a"/>
    <w:next w:val="a"/>
    <w:link w:val="Char6"/>
    <w:uiPriority w:val="99"/>
    <w:qFormat/>
    <w:rsid w:val="00EA4432"/>
    <w:pPr>
      <w:pBdr>
        <w:bottom w:val="single" w:sz="4" w:space="4" w:color="4F81BD"/>
      </w:pBdr>
      <w:spacing w:before="200" w:after="280"/>
      <w:ind w:left="936" w:right="936"/>
    </w:pPr>
    <w:rPr>
      <w:b/>
      <w:bCs/>
      <w:i/>
      <w:iCs/>
      <w:color w:val="4F81BD"/>
    </w:rPr>
  </w:style>
  <w:style w:type="character" w:customStyle="1" w:styleId="Char6">
    <w:name w:val="明显引用 Char"/>
    <w:basedOn w:val="a0"/>
    <w:link w:val="af"/>
    <w:uiPriority w:val="99"/>
    <w:locked/>
    <w:rsid w:val="00EA4432"/>
    <w:rPr>
      <w:rFonts w:cs="Times New Roman"/>
      <w:b/>
      <w:bCs/>
      <w:i/>
      <w:iCs/>
      <w:color w:val="4F81BD"/>
    </w:rPr>
  </w:style>
  <w:style w:type="character" w:customStyle="1" w:styleId="1a">
    <w:name w:val="不明显强调1"/>
    <w:basedOn w:val="a0"/>
    <w:uiPriority w:val="99"/>
    <w:qFormat/>
    <w:rsid w:val="00EA4432"/>
    <w:rPr>
      <w:rFonts w:cs="Times New Roman"/>
      <w:i/>
      <w:iCs/>
      <w:color w:val="808080"/>
    </w:rPr>
  </w:style>
  <w:style w:type="character" w:customStyle="1" w:styleId="1b">
    <w:name w:val="明显强调1"/>
    <w:basedOn w:val="a0"/>
    <w:uiPriority w:val="99"/>
    <w:qFormat/>
    <w:rsid w:val="00EA4432"/>
    <w:rPr>
      <w:rFonts w:cs="Times New Roman"/>
      <w:b/>
      <w:bCs/>
      <w:i/>
      <w:iCs/>
      <w:color w:val="4F81BD"/>
    </w:rPr>
  </w:style>
  <w:style w:type="character" w:customStyle="1" w:styleId="1c">
    <w:name w:val="不明显参考1"/>
    <w:basedOn w:val="a0"/>
    <w:uiPriority w:val="99"/>
    <w:qFormat/>
    <w:rsid w:val="00EA4432"/>
    <w:rPr>
      <w:rFonts w:cs="Times New Roman"/>
      <w:smallCaps/>
      <w:color w:val="C0504D"/>
      <w:u w:val="single"/>
    </w:rPr>
  </w:style>
  <w:style w:type="character" w:customStyle="1" w:styleId="1d">
    <w:name w:val="明显参考1"/>
    <w:basedOn w:val="a0"/>
    <w:uiPriority w:val="99"/>
    <w:qFormat/>
    <w:rsid w:val="00EA4432"/>
    <w:rPr>
      <w:rFonts w:cs="Times New Roman"/>
      <w:b/>
      <w:bCs/>
      <w:smallCaps/>
      <w:color w:val="C0504D"/>
      <w:spacing w:val="5"/>
      <w:u w:val="single"/>
    </w:rPr>
  </w:style>
  <w:style w:type="character" w:customStyle="1" w:styleId="1e">
    <w:name w:val="书籍标题1"/>
    <w:basedOn w:val="a0"/>
    <w:uiPriority w:val="99"/>
    <w:qFormat/>
    <w:rsid w:val="00EA4432"/>
    <w:rPr>
      <w:rFonts w:cs="Times New Roman"/>
      <w:b/>
      <w:bCs/>
      <w:smallCaps/>
      <w:spacing w:val="5"/>
    </w:rPr>
  </w:style>
  <w:style w:type="paragraph" w:customStyle="1" w:styleId="TOC1">
    <w:name w:val="TOC 标题1"/>
    <w:basedOn w:val="1"/>
    <w:next w:val="a"/>
    <w:uiPriority w:val="99"/>
    <w:qFormat/>
    <w:rsid w:val="00EA4432"/>
    <w:pPr>
      <w:outlineLvl w:val="9"/>
    </w:pPr>
  </w:style>
  <w:style w:type="paragraph" w:customStyle="1" w:styleId="1f">
    <w:name w:val="样式1"/>
    <w:basedOn w:val="a"/>
    <w:link w:val="1Char0"/>
    <w:uiPriority w:val="99"/>
    <w:rsid w:val="00EA4432"/>
  </w:style>
  <w:style w:type="character" w:customStyle="1" w:styleId="1Char0">
    <w:name w:val="样式1 Char"/>
    <w:basedOn w:val="a0"/>
    <w:link w:val="1f"/>
    <w:uiPriority w:val="99"/>
    <w:locked/>
    <w:rsid w:val="00EA4432"/>
    <w:rPr>
      <w:rFonts w:cs="Times New Roman"/>
    </w:rPr>
  </w:style>
  <w:style w:type="character" w:customStyle="1" w:styleId="Char1">
    <w:name w:val="页眉 Char"/>
    <w:basedOn w:val="a0"/>
    <w:link w:val="a6"/>
    <w:uiPriority w:val="99"/>
    <w:semiHidden/>
    <w:locked/>
    <w:rsid w:val="00EA4432"/>
    <w:rPr>
      <w:rFonts w:cs="Times New Roman"/>
      <w:sz w:val="18"/>
      <w:szCs w:val="18"/>
    </w:rPr>
  </w:style>
  <w:style w:type="character" w:customStyle="1" w:styleId="Char0">
    <w:name w:val="页脚 Char"/>
    <w:basedOn w:val="a0"/>
    <w:link w:val="a5"/>
    <w:uiPriority w:val="99"/>
    <w:semiHidden/>
    <w:locked/>
    <w:rsid w:val="00EA4432"/>
    <w:rPr>
      <w:rFonts w:cs="Times New Roman"/>
      <w:sz w:val="18"/>
      <w:szCs w:val="18"/>
    </w:rPr>
  </w:style>
  <w:style w:type="paragraph" w:customStyle="1" w:styleId="2">
    <w:name w:val="样式2"/>
    <w:basedOn w:val="1"/>
    <w:link w:val="2Char0"/>
    <w:uiPriority w:val="99"/>
    <w:rsid w:val="00EA4432"/>
    <w:pPr>
      <w:numPr>
        <w:numId w:val="1"/>
      </w:numPr>
    </w:pPr>
  </w:style>
  <w:style w:type="paragraph" w:customStyle="1" w:styleId="3">
    <w:name w:val="样式3"/>
    <w:basedOn w:val="1"/>
    <w:link w:val="3Char0"/>
    <w:uiPriority w:val="99"/>
    <w:rsid w:val="00EA4432"/>
    <w:pPr>
      <w:numPr>
        <w:numId w:val="2"/>
      </w:numPr>
    </w:pPr>
  </w:style>
  <w:style w:type="character" w:customStyle="1" w:styleId="2Char0">
    <w:name w:val="样式2 Char"/>
    <w:basedOn w:val="1Char"/>
    <w:link w:val="2"/>
    <w:uiPriority w:val="99"/>
    <w:locked/>
    <w:rsid w:val="00EA4432"/>
    <w:rPr>
      <w:rFonts w:cs="Times New Roman"/>
      <w:b/>
      <w:bCs/>
      <w:kern w:val="44"/>
      <w:sz w:val="44"/>
      <w:szCs w:val="44"/>
    </w:rPr>
  </w:style>
  <w:style w:type="paragraph" w:customStyle="1" w:styleId="4">
    <w:name w:val="样式4"/>
    <w:basedOn w:val="1"/>
    <w:link w:val="4Char0"/>
    <w:uiPriority w:val="99"/>
    <w:rsid w:val="00EA4432"/>
    <w:pPr>
      <w:numPr>
        <w:numId w:val="3"/>
      </w:numPr>
    </w:pPr>
  </w:style>
  <w:style w:type="character" w:customStyle="1" w:styleId="3Char0">
    <w:name w:val="样式3 Char"/>
    <w:basedOn w:val="1Char"/>
    <w:link w:val="3"/>
    <w:uiPriority w:val="99"/>
    <w:locked/>
    <w:rsid w:val="00EA4432"/>
    <w:rPr>
      <w:rFonts w:cs="Times New Roman"/>
      <w:b/>
      <w:bCs/>
      <w:kern w:val="44"/>
      <w:sz w:val="44"/>
      <w:szCs w:val="44"/>
    </w:rPr>
  </w:style>
  <w:style w:type="paragraph" w:customStyle="1" w:styleId="5">
    <w:name w:val="样式5"/>
    <w:basedOn w:val="1"/>
    <w:link w:val="5Char0"/>
    <w:uiPriority w:val="99"/>
    <w:rsid w:val="00EA4432"/>
    <w:pPr>
      <w:numPr>
        <w:numId w:val="4"/>
      </w:numPr>
    </w:pPr>
  </w:style>
  <w:style w:type="character" w:customStyle="1" w:styleId="4Char0">
    <w:name w:val="样式4 Char"/>
    <w:basedOn w:val="1Char"/>
    <w:link w:val="4"/>
    <w:uiPriority w:val="99"/>
    <w:locked/>
    <w:rsid w:val="00EA4432"/>
    <w:rPr>
      <w:rFonts w:cs="Times New Roman"/>
      <w:b/>
      <w:bCs/>
      <w:kern w:val="44"/>
      <w:sz w:val="44"/>
      <w:szCs w:val="44"/>
    </w:rPr>
  </w:style>
  <w:style w:type="paragraph" w:customStyle="1" w:styleId="6">
    <w:name w:val="样式6"/>
    <w:basedOn w:val="1"/>
    <w:link w:val="6Char0"/>
    <w:uiPriority w:val="99"/>
    <w:rsid w:val="00EA4432"/>
    <w:pPr>
      <w:numPr>
        <w:numId w:val="5"/>
      </w:numPr>
    </w:pPr>
  </w:style>
  <w:style w:type="character" w:customStyle="1" w:styleId="5Char0">
    <w:name w:val="样式5 Char"/>
    <w:basedOn w:val="1Char"/>
    <w:link w:val="5"/>
    <w:uiPriority w:val="99"/>
    <w:locked/>
    <w:rsid w:val="00EA4432"/>
    <w:rPr>
      <w:rFonts w:cs="Times New Roman"/>
      <w:b/>
      <w:bCs/>
      <w:kern w:val="44"/>
      <w:sz w:val="44"/>
      <w:szCs w:val="44"/>
    </w:rPr>
  </w:style>
  <w:style w:type="paragraph" w:customStyle="1" w:styleId="7">
    <w:name w:val="样式7"/>
    <w:basedOn w:val="1"/>
    <w:link w:val="7Char0"/>
    <w:uiPriority w:val="99"/>
    <w:rsid w:val="00EA4432"/>
    <w:pPr>
      <w:numPr>
        <w:numId w:val="6"/>
      </w:numPr>
    </w:pPr>
  </w:style>
  <w:style w:type="character" w:customStyle="1" w:styleId="6Char0">
    <w:name w:val="样式6 Char"/>
    <w:basedOn w:val="1Char"/>
    <w:link w:val="6"/>
    <w:uiPriority w:val="99"/>
    <w:locked/>
    <w:rsid w:val="00EA4432"/>
    <w:rPr>
      <w:rFonts w:cs="Times New Roman"/>
      <w:b/>
      <w:bCs/>
      <w:kern w:val="44"/>
      <w:sz w:val="44"/>
      <w:szCs w:val="44"/>
    </w:rPr>
  </w:style>
  <w:style w:type="paragraph" w:customStyle="1" w:styleId="8">
    <w:name w:val="样式8"/>
    <w:basedOn w:val="2a"/>
    <w:link w:val="8Char0"/>
    <w:uiPriority w:val="99"/>
    <w:rsid w:val="00EA4432"/>
    <w:pPr>
      <w:numPr>
        <w:numId w:val="7"/>
      </w:numPr>
    </w:pPr>
  </w:style>
  <w:style w:type="character" w:customStyle="1" w:styleId="7Char0">
    <w:name w:val="样式7 Char"/>
    <w:basedOn w:val="1Char"/>
    <w:link w:val="7"/>
    <w:uiPriority w:val="99"/>
    <w:locked/>
    <w:rsid w:val="00EA4432"/>
    <w:rPr>
      <w:rFonts w:cs="Times New Roman"/>
      <w:b/>
      <w:bCs/>
      <w:kern w:val="44"/>
      <w:sz w:val="44"/>
      <w:szCs w:val="44"/>
    </w:rPr>
  </w:style>
  <w:style w:type="paragraph" w:customStyle="1" w:styleId="9">
    <w:name w:val="样式9"/>
    <w:basedOn w:val="2a"/>
    <w:link w:val="9Char0"/>
    <w:uiPriority w:val="99"/>
    <w:rsid w:val="00EA4432"/>
    <w:pPr>
      <w:numPr>
        <w:numId w:val="8"/>
      </w:numPr>
    </w:pPr>
  </w:style>
  <w:style w:type="character" w:customStyle="1" w:styleId="8Char0">
    <w:name w:val="样式8 Char"/>
    <w:basedOn w:val="2Char"/>
    <w:link w:val="8"/>
    <w:uiPriority w:val="99"/>
    <w:locked/>
    <w:rsid w:val="00EA4432"/>
    <w:rPr>
      <w:rFonts w:ascii="Cambria" w:eastAsia="宋体" w:hAnsi="Cambria" w:cs="Times New Roman"/>
      <w:b/>
      <w:bCs/>
      <w:sz w:val="32"/>
      <w:szCs w:val="32"/>
    </w:rPr>
  </w:style>
  <w:style w:type="paragraph" w:customStyle="1" w:styleId="10">
    <w:name w:val="样式10"/>
    <w:basedOn w:val="2a"/>
    <w:link w:val="10Char"/>
    <w:uiPriority w:val="99"/>
    <w:rsid w:val="00EA4432"/>
    <w:pPr>
      <w:numPr>
        <w:numId w:val="9"/>
      </w:numPr>
    </w:pPr>
  </w:style>
  <w:style w:type="character" w:customStyle="1" w:styleId="9Char0">
    <w:name w:val="样式9 Char"/>
    <w:basedOn w:val="2Char"/>
    <w:link w:val="9"/>
    <w:uiPriority w:val="99"/>
    <w:locked/>
    <w:rsid w:val="00EA4432"/>
    <w:rPr>
      <w:rFonts w:ascii="Cambria" w:eastAsia="宋体" w:hAnsi="Cambria" w:cs="Times New Roman"/>
      <w:b/>
      <w:bCs/>
      <w:sz w:val="32"/>
      <w:szCs w:val="32"/>
    </w:rPr>
  </w:style>
  <w:style w:type="paragraph" w:customStyle="1" w:styleId="11">
    <w:name w:val="样式11"/>
    <w:basedOn w:val="2a"/>
    <w:link w:val="11Char"/>
    <w:uiPriority w:val="99"/>
    <w:rsid w:val="00EA4432"/>
    <w:pPr>
      <w:numPr>
        <w:numId w:val="10"/>
      </w:numPr>
    </w:pPr>
  </w:style>
  <w:style w:type="character" w:customStyle="1" w:styleId="10Char">
    <w:name w:val="样式10 Char"/>
    <w:basedOn w:val="2Char"/>
    <w:link w:val="10"/>
    <w:uiPriority w:val="99"/>
    <w:locked/>
    <w:rsid w:val="00EA4432"/>
    <w:rPr>
      <w:rFonts w:ascii="Cambria" w:eastAsia="宋体" w:hAnsi="Cambria" w:cs="Times New Roman"/>
      <w:b/>
      <w:bCs/>
      <w:sz w:val="32"/>
      <w:szCs w:val="32"/>
    </w:rPr>
  </w:style>
  <w:style w:type="paragraph" w:customStyle="1" w:styleId="12">
    <w:name w:val="样式12"/>
    <w:basedOn w:val="2a"/>
    <w:link w:val="12Char"/>
    <w:uiPriority w:val="99"/>
    <w:rsid w:val="00EA4432"/>
    <w:pPr>
      <w:numPr>
        <w:numId w:val="11"/>
      </w:numPr>
    </w:pPr>
  </w:style>
  <w:style w:type="character" w:customStyle="1" w:styleId="11Char">
    <w:name w:val="样式11 Char"/>
    <w:basedOn w:val="2Char"/>
    <w:link w:val="11"/>
    <w:uiPriority w:val="99"/>
    <w:locked/>
    <w:rsid w:val="00EA4432"/>
    <w:rPr>
      <w:rFonts w:ascii="Cambria" w:eastAsia="宋体" w:hAnsi="Cambria" w:cs="Times New Roman"/>
      <w:b/>
      <w:bCs/>
      <w:sz w:val="32"/>
      <w:szCs w:val="32"/>
    </w:rPr>
  </w:style>
  <w:style w:type="paragraph" w:customStyle="1" w:styleId="13">
    <w:name w:val="样式13"/>
    <w:basedOn w:val="2a"/>
    <w:link w:val="13Char"/>
    <w:uiPriority w:val="99"/>
    <w:qFormat/>
    <w:rsid w:val="00EA4432"/>
    <w:pPr>
      <w:numPr>
        <w:numId w:val="12"/>
      </w:numPr>
    </w:pPr>
  </w:style>
  <w:style w:type="character" w:customStyle="1" w:styleId="12Char">
    <w:name w:val="样式12 Char"/>
    <w:basedOn w:val="2Char"/>
    <w:link w:val="12"/>
    <w:uiPriority w:val="99"/>
    <w:locked/>
    <w:rsid w:val="00EA4432"/>
    <w:rPr>
      <w:rFonts w:ascii="Cambria" w:eastAsia="宋体" w:hAnsi="Cambria" w:cs="Times New Roman"/>
      <w:b/>
      <w:bCs/>
      <w:sz w:val="32"/>
      <w:szCs w:val="32"/>
    </w:rPr>
  </w:style>
  <w:style w:type="paragraph" w:customStyle="1" w:styleId="14">
    <w:name w:val="样式14"/>
    <w:basedOn w:val="32"/>
    <w:link w:val="14Char"/>
    <w:uiPriority w:val="99"/>
    <w:rsid w:val="00EA4432"/>
    <w:pPr>
      <w:numPr>
        <w:numId w:val="13"/>
      </w:numPr>
    </w:pPr>
  </w:style>
  <w:style w:type="character" w:customStyle="1" w:styleId="13Char">
    <w:name w:val="样式13 Char"/>
    <w:basedOn w:val="2Char"/>
    <w:link w:val="13"/>
    <w:uiPriority w:val="99"/>
    <w:locked/>
    <w:rsid w:val="00EA4432"/>
    <w:rPr>
      <w:rFonts w:ascii="Cambria" w:eastAsia="宋体" w:hAnsi="Cambria" w:cs="Times New Roman"/>
      <w:b/>
      <w:bCs/>
      <w:sz w:val="32"/>
      <w:szCs w:val="32"/>
    </w:rPr>
  </w:style>
  <w:style w:type="paragraph" w:customStyle="1" w:styleId="15">
    <w:name w:val="样式15"/>
    <w:basedOn w:val="32"/>
    <w:link w:val="15Char"/>
    <w:uiPriority w:val="99"/>
    <w:rsid w:val="00EA4432"/>
    <w:pPr>
      <w:numPr>
        <w:numId w:val="14"/>
      </w:numPr>
    </w:pPr>
  </w:style>
  <w:style w:type="character" w:customStyle="1" w:styleId="14Char">
    <w:name w:val="样式14 Char"/>
    <w:basedOn w:val="3Char"/>
    <w:link w:val="14"/>
    <w:uiPriority w:val="99"/>
    <w:locked/>
    <w:rsid w:val="00EA4432"/>
    <w:rPr>
      <w:rFonts w:cs="Times New Roman"/>
      <w:b/>
      <w:bCs/>
      <w:sz w:val="32"/>
      <w:szCs w:val="32"/>
    </w:rPr>
  </w:style>
  <w:style w:type="paragraph" w:customStyle="1" w:styleId="16">
    <w:name w:val="样式16"/>
    <w:basedOn w:val="32"/>
    <w:link w:val="16Char"/>
    <w:uiPriority w:val="99"/>
    <w:rsid w:val="00EA4432"/>
    <w:pPr>
      <w:numPr>
        <w:numId w:val="15"/>
      </w:numPr>
    </w:pPr>
  </w:style>
  <w:style w:type="character" w:customStyle="1" w:styleId="15Char">
    <w:name w:val="样式15 Char"/>
    <w:basedOn w:val="3Char"/>
    <w:link w:val="15"/>
    <w:uiPriority w:val="99"/>
    <w:locked/>
    <w:rsid w:val="00EA4432"/>
    <w:rPr>
      <w:rFonts w:cs="Times New Roman"/>
      <w:b/>
      <w:bCs/>
      <w:sz w:val="32"/>
      <w:szCs w:val="32"/>
    </w:rPr>
  </w:style>
  <w:style w:type="paragraph" w:customStyle="1" w:styleId="17">
    <w:name w:val="样式17"/>
    <w:basedOn w:val="32"/>
    <w:link w:val="17Char"/>
    <w:uiPriority w:val="99"/>
    <w:rsid w:val="00EA4432"/>
    <w:pPr>
      <w:numPr>
        <w:numId w:val="16"/>
      </w:numPr>
    </w:pPr>
  </w:style>
  <w:style w:type="character" w:customStyle="1" w:styleId="16Char">
    <w:name w:val="样式16 Char"/>
    <w:basedOn w:val="3Char"/>
    <w:link w:val="16"/>
    <w:uiPriority w:val="99"/>
    <w:locked/>
    <w:rsid w:val="00EA4432"/>
    <w:rPr>
      <w:rFonts w:cs="Times New Roman"/>
      <w:b/>
      <w:bCs/>
      <w:sz w:val="32"/>
      <w:szCs w:val="32"/>
    </w:rPr>
  </w:style>
  <w:style w:type="paragraph" w:customStyle="1" w:styleId="18">
    <w:name w:val="样式18"/>
    <w:basedOn w:val="32"/>
    <w:link w:val="18Char"/>
    <w:uiPriority w:val="99"/>
    <w:rsid w:val="00EA4432"/>
    <w:pPr>
      <w:numPr>
        <w:numId w:val="17"/>
      </w:numPr>
    </w:pPr>
  </w:style>
  <w:style w:type="character" w:customStyle="1" w:styleId="17Char">
    <w:name w:val="样式17 Char"/>
    <w:basedOn w:val="3Char"/>
    <w:link w:val="17"/>
    <w:uiPriority w:val="99"/>
    <w:locked/>
    <w:rsid w:val="00EA4432"/>
    <w:rPr>
      <w:rFonts w:cs="Times New Roman"/>
      <w:b/>
      <w:bCs/>
      <w:sz w:val="32"/>
      <w:szCs w:val="32"/>
    </w:rPr>
  </w:style>
  <w:style w:type="paragraph" w:customStyle="1" w:styleId="19">
    <w:name w:val="样式19"/>
    <w:basedOn w:val="32"/>
    <w:link w:val="19Char"/>
    <w:uiPriority w:val="99"/>
    <w:rsid w:val="00EA4432"/>
    <w:pPr>
      <w:numPr>
        <w:numId w:val="18"/>
      </w:numPr>
    </w:pPr>
  </w:style>
  <w:style w:type="character" w:customStyle="1" w:styleId="18Char">
    <w:name w:val="样式18 Char"/>
    <w:basedOn w:val="3Char"/>
    <w:link w:val="18"/>
    <w:uiPriority w:val="99"/>
    <w:locked/>
    <w:rsid w:val="00EA4432"/>
    <w:rPr>
      <w:rFonts w:cs="Times New Roman"/>
      <w:b/>
      <w:bCs/>
      <w:sz w:val="32"/>
      <w:szCs w:val="32"/>
    </w:rPr>
  </w:style>
  <w:style w:type="paragraph" w:customStyle="1" w:styleId="20">
    <w:name w:val="样式20"/>
    <w:basedOn w:val="40"/>
    <w:link w:val="20Char"/>
    <w:uiPriority w:val="99"/>
    <w:rsid w:val="00EA4432"/>
    <w:pPr>
      <w:numPr>
        <w:numId w:val="19"/>
      </w:numPr>
    </w:pPr>
  </w:style>
  <w:style w:type="character" w:customStyle="1" w:styleId="19Char">
    <w:name w:val="样式19 Char"/>
    <w:basedOn w:val="3Char"/>
    <w:link w:val="19"/>
    <w:uiPriority w:val="99"/>
    <w:locked/>
    <w:rsid w:val="00EA4432"/>
    <w:rPr>
      <w:rFonts w:cs="Times New Roman"/>
      <w:b/>
      <w:bCs/>
      <w:sz w:val="32"/>
      <w:szCs w:val="32"/>
    </w:rPr>
  </w:style>
  <w:style w:type="paragraph" w:customStyle="1" w:styleId="21">
    <w:name w:val="样式21"/>
    <w:basedOn w:val="40"/>
    <w:link w:val="21Char"/>
    <w:uiPriority w:val="99"/>
    <w:rsid w:val="00EA4432"/>
    <w:pPr>
      <w:numPr>
        <w:numId w:val="20"/>
      </w:numPr>
    </w:pPr>
  </w:style>
  <w:style w:type="character" w:customStyle="1" w:styleId="20Char">
    <w:name w:val="样式20 Char"/>
    <w:basedOn w:val="4Char"/>
    <w:link w:val="20"/>
    <w:uiPriority w:val="99"/>
    <w:locked/>
    <w:rsid w:val="00EA4432"/>
    <w:rPr>
      <w:rFonts w:ascii="Cambria" w:eastAsia="宋体" w:hAnsi="Cambria" w:cs="Times New Roman"/>
      <w:b/>
      <w:bCs/>
      <w:sz w:val="28"/>
      <w:szCs w:val="28"/>
    </w:rPr>
  </w:style>
  <w:style w:type="paragraph" w:customStyle="1" w:styleId="22">
    <w:name w:val="样式22"/>
    <w:basedOn w:val="40"/>
    <w:link w:val="22Char"/>
    <w:uiPriority w:val="99"/>
    <w:rsid w:val="00EA4432"/>
    <w:pPr>
      <w:numPr>
        <w:numId w:val="21"/>
      </w:numPr>
    </w:pPr>
  </w:style>
  <w:style w:type="character" w:customStyle="1" w:styleId="21Char">
    <w:name w:val="样式21 Char"/>
    <w:basedOn w:val="4Char"/>
    <w:link w:val="21"/>
    <w:uiPriority w:val="99"/>
    <w:locked/>
    <w:rsid w:val="00EA4432"/>
    <w:rPr>
      <w:rFonts w:ascii="Cambria" w:eastAsia="宋体" w:hAnsi="Cambria" w:cs="Times New Roman"/>
      <w:b/>
      <w:bCs/>
      <w:sz w:val="28"/>
      <w:szCs w:val="28"/>
    </w:rPr>
  </w:style>
  <w:style w:type="paragraph" w:customStyle="1" w:styleId="23">
    <w:name w:val="样式23"/>
    <w:basedOn w:val="40"/>
    <w:link w:val="23Char"/>
    <w:uiPriority w:val="99"/>
    <w:rsid w:val="00EA4432"/>
    <w:pPr>
      <w:numPr>
        <w:numId w:val="22"/>
      </w:numPr>
    </w:pPr>
  </w:style>
  <w:style w:type="character" w:customStyle="1" w:styleId="22Char">
    <w:name w:val="样式22 Char"/>
    <w:basedOn w:val="4Char"/>
    <w:link w:val="22"/>
    <w:uiPriority w:val="99"/>
    <w:locked/>
    <w:rsid w:val="00EA4432"/>
    <w:rPr>
      <w:rFonts w:ascii="Cambria" w:eastAsia="宋体" w:hAnsi="Cambria" w:cs="Times New Roman"/>
      <w:b/>
      <w:bCs/>
      <w:sz w:val="28"/>
      <w:szCs w:val="28"/>
    </w:rPr>
  </w:style>
  <w:style w:type="paragraph" w:customStyle="1" w:styleId="24">
    <w:name w:val="样式24"/>
    <w:basedOn w:val="40"/>
    <w:link w:val="24Char"/>
    <w:uiPriority w:val="99"/>
    <w:rsid w:val="00EA4432"/>
    <w:pPr>
      <w:numPr>
        <w:numId w:val="23"/>
      </w:numPr>
    </w:pPr>
  </w:style>
  <w:style w:type="character" w:customStyle="1" w:styleId="23Char">
    <w:name w:val="样式23 Char"/>
    <w:basedOn w:val="4Char"/>
    <w:link w:val="23"/>
    <w:uiPriority w:val="99"/>
    <w:locked/>
    <w:rsid w:val="00EA4432"/>
    <w:rPr>
      <w:rFonts w:ascii="Cambria" w:eastAsia="宋体" w:hAnsi="Cambria" w:cs="Times New Roman"/>
      <w:b/>
      <w:bCs/>
      <w:sz w:val="28"/>
      <w:szCs w:val="28"/>
    </w:rPr>
  </w:style>
  <w:style w:type="paragraph" w:customStyle="1" w:styleId="25">
    <w:name w:val="样式25"/>
    <w:basedOn w:val="40"/>
    <w:link w:val="25Char"/>
    <w:uiPriority w:val="99"/>
    <w:rsid w:val="00EA4432"/>
    <w:pPr>
      <w:numPr>
        <w:numId w:val="24"/>
      </w:numPr>
    </w:pPr>
  </w:style>
  <w:style w:type="character" w:customStyle="1" w:styleId="24Char">
    <w:name w:val="样式24 Char"/>
    <w:basedOn w:val="4Char"/>
    <w:link w:val="24"/>
    <w:uiPriority w:val="99"/>
    <w:locked/>
    <w:rsid w:val="00EA4432"/>
    <w:rPr>
      <w:rFonts w:ascii="Cambria" w:eastAsia="宋体" w:hAnsi="Cambria" w:cs="Times New Roman"/>
      <w:b/>
      <w:bCs/>
      <w:sz w:val="28"/>
      <w:szCs w:val="28"/>
    </w:rPr>
  </w:style>
  <w:style w:type="paragraph" w:customStyle="1" w:styleId="26">
    <w:name w:val="样式26"/>
    <w:basedOn w:val="50"/>
    <w:link w:val="26Char"/>
    <w:uiPriority w:val="99"/>
    <w:rsid w:val="00EA4432"/>
    <w:pPr>
      <w:numPr>
        <w:numId w:val="25"/>
      </w:numPr>
    </w:pPr>
  </w:style>
  <w:style w:type="character" w:customStyle="1" w:styleId="25Char">
    <w:name w:val="样式25 Char"/>
    <w:basedOn w:val="4Char"/>
    <w:link w:val="25"/>
    <w:uiPriority w:val="99"/>
    <w:locked/>
    <w:rsid w:val="00EA4432"/>
    <w:rPr>
      <w:rFonts w:ascii="Cambria" w:eastAsia="宋体" w:hAnsi="Cambria" w:cs="Times New Roman"/>
      <w:b/>
      <w:bCs/>
      <w:sz w:val="28"/>
      <w:szCs w:val="28"/>
    </w:rPr>
  </w:style>
  <w:style w:type="paragraph" w:customStyle="1" w:styleId="27">
    <w:name w:val="样式27"/>
    <w:basedOn w:val="50"/>
    <w:link w:val="27Char"/>
    <w:uiPriority w:val="99"/>
    <w:rsid w:val="00EA4432"/>
    <w:pPr>
      <w:numPr>
        <w:numId w:val="26"/>
      </w:numPr>
    </w:pPr>
  </w:style>
  <w:style w:type="character" w:customStyle="1" w:styleId="26Char">
    <w:name w:val="样式26 Char"/>
    <w:basedOn w:val="5Char"/>
    <w:link w:val="26"/>
    <w:uiPriority w:val="99"/>
    <w:locked/>
    <w:rsid w:val="00EA4432"/>
    <w:rPr>
      <w:rFonts w:cs="Times New Roman"/>
      <w:b/>
      <w:bCs/>
      <w:sz w:val="28"/>
      <w:szCs w:val="28"/>
    </w:rPr>
  </w:style>
  <w:style w:type="paragraph" w:customStyle="1" w:styleId="28">
    <w:name w:val="样式28"/>
    <w:basedOn w:val="50"/>
    <w:link w:val="28Char"/>
    <w:uiPriority w:val="99"/>
    <w:rsid w:val="00EA4432"/>
    <w:pPr>
      <w:numPr>
        <w:numId w:val="27"/>
      </w:numPr>
    </w:pPr>
  </w:style>
  <w:style w:type="character" w:customStyle="1" w:styleId="27Char">
    <w:name w:val="样式27 Char"/>
    <w:basedOn w:val="5Char"/>
    <w:link w:val="27"/>
    <w:uiPriority w:val="99"/>
    <w:locked/>
    <w:rsid w:val="00EA4432"/>
    <w:rPr>
      <w:rFonts w:cs="Times New Roman"/>
      <w:b/>
      <w:bCs/>
      <w:sz w:val="28"/>
      <w:szCs w:val="28"/>
    </w:rPr>
  </w:style>
  <w:style w:type="paragraph" w:customStyle="1" w:styleId="29">
    <w:name w:val="样式29"/>
    <w:basedOn w:val="50"/>
    <w:link w:val="29Char"/>
    <w:uiPriority w:val="99"/>
    <w:rsid w:val="00EA4432"/>
    <w:pPr>
      <w:numPr>
        <w:numId w:val="28"/>
      </w:numPr>
    </w:pPr>
  </w:style>
  <w:style w:type="character" w:customStyle="1" w:styleId="28Char">
    <w:name w:val="样式28 Char"/>
    <w:basedOn w:val="5Char"/>
    <w:link w:val="28"/>
    <w:uiPriority w:val="99"/>
    <w:locked/>
    <w:rsid w:val="00EA4432"/>
    <w:rPr>
      <w:rFonts w:cs="Times New Roman"/>
      <w:b/>
      <w:bCs/>
      <w:sz w:val="28"/>
      <w:szCs w:val="28"/>
    </w:rPr>
  </w:style>
  <w:style w:type="paragraph" w:customStyle="1" w:styleId="30">
    <w:name w:val="样式30"/>
    <w:basedOn w:val="50"/>
    <w:link w:val="30Char"/>
    <w:uiPriority w:val="99"/>
    <w:rsid w:val="00EA4432"/>
    <w:pPr>
      <w:numPr>
        <w:numId w:val="29"/>
      </w:numPr>
    </w:pPr>
  </w:style>
  <w:style w:type="character" w:customStyle="1" w:styleId="29Char">
    <w:name w:val="样式29 Char"/>
    <w:basedOn w:val="5Char"/>
    <w:link w:val="29"/>
    <w:uiPriority w:val="99"/>
    <w:locked/>
    <w:rsid w:val="00EA4432"/>
    <w:rPr>
      <w:rFonts w:cs="Times New Roman"/>
      <w:b/>
      <w:bCs/>
      <w:sz w:val="28"/>
      <w:szCs w:val="28"/>
    </w:rPr>
  </w:style>
  <w:style w:type="paragraph" w:customStyle="1" w:styleId="31">
    <w:name w:val="样式31"/>
    <w:basedOn w:val="50"/>
    <w:link w:val="31Char"/>
    <w:uiPriority w:val="99"/>
    <w:rsid w:val="00EA4432"/>
    <w:pPr>
      <w:numPr>
        <w:numId w:val="30"/>
      </w:numPr>
    </w:pPr>
  </w:style>
  <w:style w:type="character" w:customStyle="1" w:styleId="30Char">
    <w:name w:val="样式30 Char"/>
    <w:basedOn w:val="5Char"/>
    <w:link w:val="30"/>
    <w:uiPriority w:val="99"/>
    <w:locked/>
    <w:rsid w:val="00EA4432"/>
    <w:rPr>
      <w:rFonts w:cs="Times New Roman"/>
      <w:b/>
      <w:bCs/>
      <w:sz w:val="28"/>
      <w:szCs w:val="28"/>
    </w:rPr>
  </w:style>
  <w:style w:type="character" w:customStyle="1" w:styleId="31Char">
    <w:name w:val="样式31 Char"/>
    <w:basedOn w:val="5Char"/>
    <w:link w:val="31"/>
    <w:uiPriority w:val="99"/>
    <w:locked/>
    <w:rsid w:val="00EA4432"/>
    <w:rPr>
      <w:rFonts w:cs="Times New Roman"/>
      <w:b/>
      <w:bCs/>
      <w:sz w:val="28"/>
      <w:szCs w:val="28"/>
    </w:rPr>
  </w:style>
  <w:style w:type="character" w:customStyle="1" w:styleId="Char">
    <w:name w:val="批注框文本 Char"/>
    <w:basedOn w:val="a0"/>
    <w:link w:val="a4"/>
    <w:uiPriority w:val="99"/>
    <w:semiHidden/>
    <w:locked/>
    <w:rsid w:val="00EA4432"/>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7003</Words>
  <Characters>5876</Characters>
  <Application>Microsoft Office Word</Application>
  <DocSecurity>0</DocSecurity>
  <Lines>48</Lines>
  <Paragraphs>25</Paragraphs>
  <ScaleCrop>false</ScaleCrop>
  <Company>Lenovo</Company>
  <LinksUpToDate>false</LinksUpToDate>
  <CharactersWithSpaces>12854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Generated by OpenXML4J</dc:creator>
  <cp:lastModifiedBy>user</cp:lastModifiedBy>
  <cp:revision>44</cp:revision>
  <cp:lastPrinted>2019-07-15T01:20:00Z</cp:lastPrinted>
  <dcterms:created xsi:type="dcterms:W3CDTF">2019-07-12T11:18:00Z</dcterms:created>
  <dcterms:modified xsi:type="dcterms:W3CDTF">2019-08-08T06:52:00Z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