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FF33B">
      <w:pPr>
        <w:spacing w:line="600" w:lineRule="exact"/>
        <w:rPr>
          <w:rFonts w:hint="eastAsia" w:ascii="仿宋_GB2312" w:eastAsia="仿宋_GB2312"/>
          <w:sz w:val="32"/>
          <w:szCs w:val="32"/>
        </w:rPr>
      </w:pPr>
    </w:p>
    <w:p w14:paraId="4463E911">
      <w:pPr>
        <w:spacing w:line="6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上海市基本建设考古工作管理办法</w:t>
      </w:r>
    </w:p>
    <w:p w14:paraId="46651EB3">
      <w:pPr>
        <w:spacing w:line="600" w:lineRule="exact"/>
        <w:jc w:val="center"/>
        <w:rPr>
          <w:rFonts w:hint="eastAsia" w:ascii="楷体_GB2312" w:eastAsia="楷体_GB2312"/>
          <w:sz w:val="32"/>
          <w:szCs w:val="32"/>
        </w:rPr>
      </w:pPr>
      <w:r>
        <w:rPr>
          <w:rFonts w:hint="eastAsia" w:ascii="楷体_GB2312" w:hAnsi="方正小标宋简体" w:eastAsia="楷体_GB2312"/>
          <w:sz w:val="32"/>
          <w:szCs w:val="32"/>
        </w:rPr>
        <w:t>（试行）</w:t>
      </w:r>
    </w:p>
    <w:p w14:paraId="686F66CD">
      <w:pPr>
        <w:spacing w:line="600" w:lineRule="exact"/>
        <w:jc w:val="center"/>
        <w:rPr>
          <w:rFonts w:hint="eastAsia" w:ascii="楷体_GB2312" w:eastAsia="楷体_GB2312"/>
          <w:sz w:val="32"/>
          <w:szCs w:val="32"/>
        </w:rPr>
      </w:pPr>
      <w:r>
        <w:rPr>
          <w:rFonts w:hint="eastAsia" w:ascii="楷体_GB2312" w:eastAsia="楷体_GB2312"/>
          <w:sz w:val="32"/>
          <w:szCs w:val="32"/>
        </w:rPr>
        <w:t>（征求意见稿）</w:t>
      </w:r>
    </w:p>
    <w:p w14:paraId="4D4641BA">
      <w:pPr>
        <w:spacing w:line="600" w:lineRule="exact"/>
        <w:rPr>
          <w:rFonts w:hint="eastAsia" w:ascii="仿宋_GB2312" w:eastAsia="仿宋_GB2312"/>
          <w:sz w:val="32"/>
          <w:szCs w:val="32"/>
        </w:rPr>
      </w:pPr>
    </w:p>
    <w:p w14:paraId="1BB23618">
      <w:pPr>
        <w:spacing w:line="800" w:lineRule="exact"/>
        <w:jc w:val="center"/>
        <w:rPr>
          <w:rFonts w:hint="eastAsia" w:ascii="黑体" w:hAnsi="黑体" w:eastAsia="黑体"/>
          <w:sz w:val="32"/>
          <w:szCs w:val="32"/>
        </w:rPr>
      </w:pPr>
      <w:r>
        <w:rPr>
          <w:rFonts w:hint="eastAsia" w:ascii="黑体" w:hAnsi="黑体" w:eastAsia="黑体"/>
          <w:sz w:val="32"/>
          <w:szCs w:val="32"/>
        </w:rPr>
        <w:t>第一章 总则</w:t>
      </w:r>
    </w:p>
    <w:p w14:paraId="66BC6E60">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第一条</w:t>
      </w:r>
      <w:r>
        <w:rPr>
          <w:rFonts w:hint="eastAsia" w:ascii="楷体_GB2312" w:eastAsia="楷体_GB2312"/>
          <w:sz w:val="32"/>
          <w:szCs w:val="32"/>
        </w:rPr>
        <w:t>（目的与依据）</w:t>
      </w:r>
    </w:p>
    <w:p w14:paraId="5D92694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为贯彻落实《中共中央办公厅 国务院办公厅关于加强文物保护利用改革的若干意见》以及工程建设项目审批制度改革有关要求，进一步强化本市基本建设考古工作管理，落实“先考古、后出让”制度，统筹协调文物保护与区域经济社会发展，根据《中华人民共和国文物保护法》《中华人民共和国文物保护法实施条例》《上海市文物保护条例》等法律法规规定，结合本市实际，制定本办法。</w:t>
      </w:r>
    </w:p>
    <w:p w14:paraId="31CD0ACD">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第二条</w:t>
      </w:r>
      <w:r>
        <w:rPr>
          <w:rFonts w:hint="eastAsia" w:ascii="楷体_GB2312" w:eastAsia="楷体_GB2312"/>
          <w:sz w:val="32"/>
          <w:szCs w:val="32"/>
        </w:rPr>
        <w:t>（适用范围）</w:t>
      </w:r>
    </w:p>
    <w:p w14:paraId="7E3C5701">
      <w:pPr>
        <w:spacing w:line="600" w:lineRule="exact"/>
        <w:rPr>
          <w:rFonts w:hint="eastAsia" w:ascii="仿宋_GB2312" w:eastAsia="仿宋_GB2312"/>
          <w:sz w:val="32"/>
          <w:szCs w:val="32"/>
        </w:rPr>
      </w:pPr>
      <w:r>
        <w:rPr>
          <w:rFonts w:hint="eastAsia" w:ascii="仿宋_GB2312" w:eastAsia="仿宋_GB2312"/>
          <w:sz w:val="32"/>
          <w:szCs w:val="32"/>
        </w:rPr>
        <w:t xml:space="preserve">    本市行政区域内可能存在地下文物的区域，在土地出让或者划拨前的考古调查、勘探、发掘工作，以及涉及基本建设工程的考古调查、勘探、发掘工作，适用本办法。</w:t>
      </w:r>
    </w:p>
    <w:p w14:paraId="63720CC3">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第三条</w:t>
      </w:r>
      <w:r>
        <w:rPr>
          <w:rFonts w:hint="eastAsia" w:ascii="楷体_GB2312" w:eastAsia="楷体_GB2312"/>
          <w:sz w:val="32"/>
          <w:szCs w:val="32"/>
        </w:rPr>
        <w:t>（基本原则）</w:t>
      </w:r>
    </w:p>
    <w:p w14:paraId="2D4D748E">
      <w:pPr>
        <w:spacing w:line="600" w:lineRule="exact"/>
        <w:ind w:firstLine="640"/>
        <w:rPr>
          <w:rFonts w:hint="eastAsia" w:ascii="仿宋_GB2312" w:eastAsia="仿宋_GB2312"/>
          <w:sz w:val="32"/>
          <w:szCs w:val="32"/>
        </w:rPr>
      </w:pPr>
      <w:r>
        <w:rPr>
          <w:rFonts w:hint="eastAsia" w:ascii="仿宋_GB2312" w:eastAsia="仿宋_GB2312"/>
          <w:sz w:val="32"/>
          <w:szCs w:val="32"/>
        </w:rPr>
        <w:t>基本建设考古工作应当坚持依法依规、协同推进、注重时效、主动服务的原则，严格遵循既有利于文物保护、又有利于基本建设的总体要求，实现文物保护与经济社会协调发展。</w:t>
      </w:r>
    </w:p>
    <w:p w14:paraId="206BDF32">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第四条</w:t>
      </w:r>
      <w:r>
        <w:rPr>
          <w:rFonts w:hint="eastAsia" w:ascii="楷体_GB2312" w:eastAsia="楷体_GB2312"/>
          <w:sz w:val="32"/>
          <w:szCs w:val="32"/>
        </w:rPr>
        <w:t>（部门职责）</w:t>
      </w:r>
    </w:p>
    <w:p w14:paraId="51956D10">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市文物行政部门负责对本市基本建设考古工作进行统一组织、监督和管理。</w:t>
      </w:r>
    </w:p>
    <w:p w14:paraId="3A7DBF75">
      <w:pPr>
        <w:spacing w:line="600" w:lineRule="exact"/>
        <w:ind w:firstLine="640" w:firstLineChars="200"/>
        <w:rPr>
          <w:rFonts w:hint="eastAsia" w:ascii="仿宋_GB2312" w:eastAsia="仿宋_GB2312"/>
          <w:color w:val="EE0000"/>
          <w:sz w:val="32"/>
          <w:szCs w:val="32"/>
        </w:rPr>
      </w:pPr>
      <w:r>
        <w:rPr>
          <w:rFonts w:hint="eastAsia" w:ascii="仿宋_GB2312" w:eastAsia="仿宋_GB2312"/>
          <w:sz w:val="32"/>
          <w:szCs w:val="32"/>
        </w:rPr>
        <w:t>各区人民政府依法履行基本建设考古工作的属地责任，建立本地区基本建设考古工作协同机制，并提供经费保障。</w:t>
      </w:r>
    </w:p>
    <w:p w14:paraId="7BFF6AD9">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各区文物行政部门负责辖区内基本建设考古工作的日常监督管理，按照年度土地储备和供应计划，编制考古调查、勘探项目计划，预留足够考古工作时间。</w:t>
      </w:r>
    </w:p>
    <w:p w14:paraId="1DA7DB5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市和区发展改革、公安、财政、住房和城乡建设、规划资源、交通运输、水务等部门，应当依法履行在项目审批、土地供应、项目实施、资金保障、工程建设等工作中的文物保护职责。</w:t>
      </w:r>
    </w:p>
    <w:p w14:paraId="63446D05">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第五条</w:t>
      </w:r>
      <w:r>
        <w:rPr>
          <w:rFonts w:hint="eastAsia" w:ascii="楷体_GB2312" w:eastAsia="楷体_GB2312"/>
          <w:sz w:val="32"/>
          <w:szCs w:val="32"/>
        </w:rPr>
        <w:t>（考古工作机构）</w:t>
      </w:r>
    </w:p>
    <w:p w14:paraId="651D55BB">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考古调查、勘探和发掘项目由具有国家文物行政部门颁发的考古发掘资质的单位实施。</w:t>
      </w:r>
    </w:p>
    <w:p w14:paraId="0348C124">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考古调查、勘探及发掘的劳务和技术服务工作可由考古发掘资质单位依法依规吸纳、组织具备相应资格条件的企事业单位和社会力量参与承担。</w:t>
      </w:r>
    </w:p>
    <w:p w14:paraId="378F92B3">
      <w:pPr>
        <w:spacing w:line="800" w:lineRule="exact"/>
        <w:jc w:val="center"/>
        <w:rPr>
          <w:rFonts w:hint="eastAsia" w:ascii="黑体" w:hAnsi="黑体" w:eastAsia="黑体"/>
          <w:sz w:val="32"/>
          <w:szCs w:val="32"/>
        </w:rPr>
      </w:pPr>
      <w:r>
        <w:rPr>
          <w:rFonts w:hint="eastAsia" w:ascii="黑体" w:hAnsi="黑体" w:eastAsia="黑体"/>
          <w:sz w:val="32"/>
          <w:szCs w:val="32"/>
        </w:rPr>
        <w:t>第二章 考古调查、勘探管理</w:t>
      </w:r>
    </w:p>
    <w:p w14:paraId="17EEA9E8">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楷体_GB2312" w:eastAsia="楷体_GB2312"/>
          <w:sz w:val="32"/>
          <w:szCs w:val="32"/>
        </w:rPr>
        <w:t>（可能存在地下文物的区域）</w:t>
      </w:r>
    </w:p>
    <w:p w14:paraId="4C3F6497">
      <w:pPr>
        <w:spacing w:line="600" w:lineRule="exact"/>
        <w:ind w:firstLine="640"/>
        <w:rPr>
          <w:rFonts w:hint="eastAsia" w:ascii="仿宋_GB2312" w:eastAsia="仿宋_GB2312"/>
          <w:sz w:val="32"/>
          <w:szCs w:val="32"/>
        </w:rPr>
      </w:pPr>
      <w:r>
        <w:rPr>
          <w:rFonts w:hint="eastAsia" w:ascii="仿宋_GB2312" w:eastAsia="仿宋_GB2312"/>
          <w:sz w:val="32"/>
          <w:szCs w:val="32"/>
        </w:rPr>
        <w:t>文献有记载、历史上专项考古调查、文物普查发现有文物遗存的，以及符合古代文物遗存埋藏规律的区域，由市文物行政部门划定为可能存在地下文物的区域，实施动态管理。</w:t>
      </w:r>
    </w:p>
    <w:p w14:paraId="7FBDCB7B">
      <w:pPr>
        <w:spacing w:line="600" w:lineRule="exact"/>
        <w:ind w:firstLine="640"/>
        <w:rPr>
          <w:rFonts w:hint="eastAsia" w:ascii="仿宋_GB2312" w:eastAsia="仿宋_GB2312"/>
          <w:sz w:val="32"/>
          <w:szCs w:val="32"/>
        </w:rPr>
      </w:pPr>
      <w:r>
        <w:rPr>
          <w:rFonts w:hint="eastAsia" w:ascii="黑体" w:hAnsi="黑体" w:eastAsia="黑体"/>
          <w:sz w:val="32"/>
          <w:szCs w:val="32"/>
        </w:rPr>
        <w:t>第七条</w:t>
      </w:r>
      <w:r>
        <w:rPr>
          <w:rFonts w:hint="eastAsia" w:ascii="楷体_GB2312" w:eastAsia="楷体_GB2312"/>
          <w:sz w:val="32"/>
          <w:szCs w:val="32"/>
        </w:rPr>
        <w:t>（对象范围）</w:t>
      </w:r>
    </w:p>
    <w:p w14:paraId="7131330E">
      <w:pPr>
        <w:spacing w:line="600" w:lineRule="exact"/>
        <w:ind w:firstLine="640"/>
        <w:rPr>
          <w:rFonts w:hint="eastAsia" w:ascii="仿宋_GB2312" w:eastAsia="仿宋_GB2312"/>
          <w:sz w:val="32"/>
          <w:szCs w:val="32"/>
        </w:rPr>
      </w:pPr>
      <w:r>
        <w:rPr>
          <w:rFonts w:hint="eastAsia" w:ascii="仿宋_GB2312" w:eastAsia="仿宋_GB2312"/>
          <w:sz w:val="32"/>
          <w:szCs w:val="32"/>
        </w:rPr>
        <w:t>本市基本建设考古分为土地供应和建设工程两类。</w:t>
      </w:r>
    </w:p>
    <w:p w14:paraId="3F530C7F">
      <w:pPr>
        <w:spacing w:line="600" w:lineRule="exact"/>
        <w:ind w:firstLine="640"/>
        <w:rPr>
          <w:rFonts w:hint="eastAsia" w:ascii="仿宋_GB2312" w:eastAsia="仿宋_GB2312"/>
          <w:sz w:val="32"/>
          <w:szCs w:val="32"/>
        </w:rPr>
      </w:pPr>
      <w:r>
        <w:rPr>
          <w:rFonts w:hint="eastAsia" w:ascii="仿宋_GB2312" w:eastAsia="仿宋_GB2312"/>
          <w:sz w:val="32"/>
          <w:szCs w:val="32"/>
        </w:rPr>
        <w:t>（一）土地供应类。符合下列情形之一的建设用地，在出让或划拨前，应当依法进行考古调查、勘探：</w:t>
      </w:r>
    </w:p>
    <w:p w14:paraId="71F286ED">
      <w:pPr>
        <w:spacing w:line="600" w:lineRule="exact"/>
        <w:ind w:firstLine="640"/>
        <w:rPr>
          <w:rFonts w:hint="eastAsia" w:ascii="仿宋_GB2312" w:eastAsia="仿宋_GB2312"/>
          <w:sz w:val="32"/>
          <w:szCs w:val="32"/>
        </w:rPr>
      </w:pPr>
      <w:r>
        <w:rPr>
          <w:rFonts w:hint="eastAsia" w:ascii="仿宋_GB2312" w:eastAsia="仿宋_GB2312"/>
          <w:sz w:val="32"/>
          <w:szCs w:val="32"/>
        </w:rPr>
        <w:t>1.涉及由市文物行政部门划定可能存在地下文物的区域的；</w:t>
      </w:r>
    </w:p>
    <w:p w14:paraId="479F064B">
      <w:pPr>
        <w:spacing w:line="600" w:lineRule="exact"/>
        <w:ind w:firstLine="640"/>
        <w:rPr>
          <w:rFonts w:hint="eastAsia" w:ascii="仿宋_GB2312" w:eastAsia="仿宋_GB2312"/>
          <w:sz w:val="32"/>
          <w:szCs w:val="32"/>
        </w:rPr>
      </w:pPr>
      <w:r>
        <w:rPr>
          <w:rFonts w:hint="eastAsia" w:ascii="仿宋_GB2312" w:eastAsia="仿宋_GB2312"/>
          <w:sz w:val="32"/>
          <w:szCs w:val="32"/>
        </w:rPr>
        <w:t>2.涉及各级文物保护单位保护范围或者建设控制地带的；</w:t>
      </w:r>
    </w:p>
    <w:p w14:paraId="463B6E3D">
      <w:pPr>
        <w:spacing w:line="600" w:lineRule="exact"/>
        <w:ind w:firstLine="640"/>
        <w:rPr>
          <w:rFonts w:hint="eastAsia" w:ascii="仿宋_GB2312" w:eastAsia="仿宋_GB2312"/>
          <w:sz w:val="32"/>
          <w:szCs w:val="32"/>
        </w:rPr>
      </w:pPr>
      <w:r>
        <w:rPr>
          <w:rFonts w:hint="eastAsia" w:ascii="仿宋_GB2312" w:eastAsia="仿宋_GB2312"/>
          <w:sz w:val="32"/>
          <w:szCs w:val="32"/>
        </w:rPr>
        <w:t>3.涉及已划定公布的地下文物埋藏区的；</w:t>
      </w:r>
    </w:p>
    <w:p w14:paraId="0CEEE0B9">
      <w:pPr>
        <w:spacing w:line="600" w:lineRule="exact"/>
        <w:ind w:firstLine="640"/>
        <w:rPr>
          <w:rFonts w:hint="eastAsia" w:ascii="仿宋_GB2312" w:eastAsia="仿宋_GB2312"/>
          <w:sz w:val="32"/>
          <w:szCs w:val="32"/>
        </w:rPr>
      </w:pPr>
      <w:r>
        <w:rPr>
          <w:rFonts w:hint="eastAsia" w:ascii="仿宋_GB2312" w:eastAsia="仿宋_GB2312"/>
          <w:sz w:val="32"/>
          <w:szCs w:val="32"/>
        </w:rPr>
        <w:t>4.大型基本建设工程的建设用地。</w:t>
      </w:r>
    </w:p>
    <w:p w14:paraId="39129BE3">
      <w:pPr>
        <w:spacing w:line="600" w:lineRule="exact"/>
        <w:ind w:firstLine="640"/>
        <w:rPr>
          <w:rFonts w:hint="eastAsia" w:ascii="仿宋_GB2312" w:eastAsia="仿宋_GB2312"/>
          <w:sz w:val="32"/>
          <w:szCs w:val="32"/>
        </w:rPr>
      </w:pPr>
      <w:r>
        <w:rPr>
          <w:rFonts w:hint="eastAsia" w:ascii="仿宋_GB2312" w:eastAsia="仿宋_GB2312"/>
          <w:sz w:val="32"/>
          <w:szCs w:val="32"/>
        </w:rPr>
        <w:t>（二）建设工程类。不涉及土地供应的建设工程，符合下列情形之一的，应依法在工程范围内有可能埋藏文物的地方进行考古调查、勘探：</w:t>
      </w:r>
    </w:p>
    <w:p w14:paraId="0D334FF9">
      <w:pPr>
        <w:spacing w:line="600" w:lineRule="exact"/>
        <w:ind w:firstLine="640"/>
        <w:rPr>
          <w:rFonts w:hint="eastAsia" w:ascii="仿宋_GB2312" w:eastAsia="仿宋_GB2312"/>
          <w:sz w:val="32"/>
          <w:szCs w:val="32"/>
        </w:rPr>
      </w:pPr>
      <w:r>
        <w:rPr>
          <w:rFonts w:hint="eastAsia" w:ascii="仿宋_GB2312" w:eastAsia="仿宋_GB2312"/>
          <w:sz w:val="32"/>
          <w:szCs w:val="32"/>
        </w:rPr>
        <w:t>1.大型基本建设工程；</w:t>
      </w:r>
    </w:p>
    <w:p w14:paraId="0AE1D88F">
      <w:pPr>
        <w:spacing w:line="600" w:lineRule="exact"/>
        <w:ind w:firstLine="640"/>
        <w:rPr>
          <w:rFonts w:hint="eastAsia" w:ascii="仿宋_GB2312" w:eastAsia="仿宋_GB2312"/>
          <w:sz w:val="32"/>
          <w:szCs w:val="32"/>
        </w:rPr>
      </w:pPr>
      <w:r>
        <w:rPr>
          <w:rFonts w:hint="eastAsia" w:ascii="仿宋_GB2312" w:eastAsia="仿宋_GB2312"/>
          <w:sz w:val="32"/>
          <w:szCs w:val="32"/>
        </w:rPr>
        <w:t>2.涉及文物保护单位的保护范围或者建设控制地带的建设工程；</w:t>
      </w:r>
    </w:p>
    <w:p w14:paraId="4E401A47">
      <w:pPr>
        <w:spacing w:line="600" w:lineRule="exact"/>
        <w:ind w:firstLine="640"/>
        <w:rPr>
          <w:rFonts w:hint="eastAsia" w:ascii="仿宋_GB2312" w:eastAsia="仿宋_GB2312"/>
          <w:sz w:val="32"/>
          <w:szCs w:val="32"/>
        </w:rPr>
      </w:pPr>
      <w:r>
        <w:rPr>
          <w:rFonts w:hint="eastAsia" w:ascii="仿宋_GB2312" w:eastAsia="仿宋_GB2312"/>
          <w:sz w:val="32"/>
          <w:szCs w:val="32"/>
        </w:rPr>
        <w:t>3.涉及已划定的地下文物埋藏区的建设工程。</w:t>
      </w:r>
    </w:p>
    <w:p w14:paraId="3F91AB1D">
      <w:pPr>
        <w:spacing w:line="600" w:lineRule="exact"/>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第八条</w:t>
      </w:r>
      <w:r>
        <w:rPr>
          <w:rFonts w:hint="eastAsia" w:ascii="楷体_GB2312" w:eastAsia="楷体_GB2312"/>
          <w:sz w:val="32"/>
          <w:szCs w:val="32"/>
        </w:rPr>
        <w:t>（可不进行考古前置的条件）</w:t>
      </w:r>
    </w:p>
    <w:p w14:paraId="525E51E6">
      <w:pPr>
        <w:spacing w:line="600" w:lineRule="exact"/>
        <w:rPr>
          <w:rFonts w:hint="eastAsia" w:ascii="仿宋_GB2312" w:eastAsia="仿宋_GB2312"/>
          <w:sz w:val="32"/>
          <w:szCs w:val="32"/>
        </w:rPr>
      </w:pPr>
      <w:r>
        <w:rPr>
          <w:rFonts w:hint="eastAsia" w:ascii="仿宋_GB2312" w:eastAsia="仿宋_GB2312"/>
          <w:sz w:val="32"/>
          <w:szCs w:val="32"/>
        </w:rPr>
        <w:t>　　属于本办法第七条规定的情形，但符合以下情形之一的，可不进行考古调查、勘探工作：</w:t>
      </w:r>
    </w:p>
    <w:p w14:paraId="4BBD7E4D">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（一）对既有市政基础设施、水利基础设施等实施改造，施工作业范围不超过原有区域和原有下挖深度的；</w:t>
      </w:r>
    </w:p>
    <w:p w14:paraId="3FA32BF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（二）对地面建构筑物实施改造、扩建，项目施工作业范围不超过原有区域和原有下挖深度，或原有下挖深度已至生土层的；</w:t>
      </w:r>
    </w:p>
    <w:p w14:paraId="71DB3E7B">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（三）规划明确有建构筑物保护保留要求的区域；</w:t>
      </w:r>
    </w:p>
    <w:p w14:paraId="02F8F005">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（四）已完成全部考古发掘工作，且无文物原址保护要求的；</w:t>
      </w:r>
    </w:p>
    <w:p w14:paraId="70B30D68">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（五）已完成考古调查、勘探工作的地块再次收储或进行建设，地块范围没有扩大，且不需要进行补充考古工作的。</w:t>
      </w:r>
    </w:p>
    <w:p w14:paraId="2A18C790">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属于上述情形的土地，在工程建设中，如发现文物，建设单位应当保护现场，立即向建设工程所在地的区文物行政部门报告。</w:t>
      </w:r>
    </w:p>
    <w:p w14:paraId="4FEFB373">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第九条</w:t>
      </w:r>
      <w:r>
        <w:rPr>
          <w:rFonts w:hint="eastAsia" w:ascii="楷体_GB2312" w:eastAsia="楷体_GB2312"/>
          <w:sz w:val="32"/>
          <w:szCs w:val="32"/>
        </w:rPr>
        <w:t>（考古前置工作经费）</w:t>
      </w:r>
    </w:p>
    <w:p w14:paraId="3488C95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属于本办法第七条第（一）类所列情形的，考古调查、勘探和发掘工作经费，由土地供应主体的同级财政承担，纳入本级财政预算。</w:t>
      </w:r>
    </w:p>
    <w:p w14:paraId="747FF86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属于本办法第七条第（二）类所列情形的，配合建设工程进行考古调查、勘探和发掘的工作经费由建设单位承担，列入建设工程预算。</w:t>
      </w:r>
    </w:p>
    <w:p w14:paraId="19F99536">
      <w:pPr>
        <w:spacing w:line="600" w:lineRule="exact"/>
        <w:ind w:firstLine="640" w:firstLineChars="200"/>
        <w:rPr>
          <w:rFonts w:hint="eastAsia" w:ascii="仿宋_GB2312" w:eastAsia="仿宋_GB2312"/>
          <w:sz w:val="32"/>
          <w:szCs w:val="32"/>
        </w:rPr>
      </w:pPr>
      <w:r>
        <w:rPr>
          <w:rFonts w:ascii="仿宋_GB2312" w:eastAsia="仿宋_GB2312"/>
          <w:sz w:val="32"/>
          <w:szCs w:val="32"/>
        </w:rPr>
        <w:t>考古</w:t>
      </w:r>
      <w:r>
        <w:rPr>
          <w:rFonts w:hint="eastAsia" w:ascii="仿宋_GB2312" w:eastAsia="仿宋_GB2312"/>
          <w:sz w:val="32"/>
          <w:szCs w:val="32"/>
        </w:rPr>
        <w:t>调查、勘探、发掘经费</w:t>
      </w:r>
      <w:r>
        <w:rPr>
          <w:rFonts w:ascii="仿宋_GB2312" w:eastAsia="仿宋_GB2312"/>
          <w:sz w:val="32"/>
          <w:szCs w:val="32"/>
        </w:rPr>
        <w:t>标准</w:t>
      </w:r>
      <w:r>
        <w:rPr>
          <w:rFonts w:hint="eastAsia" w:ascii="仿宋_GB2312" w:eastAsia="仿宋_GB2312"/>
          <w:sz w:val="32"/>
          <w:szCs w:val="32"/>
        </w:rPr>
        <w:t>参照</w:t>
      </w:r>
      <w:r>
        <w:rPr>
          <w:rFonts w:ascii="仿宋_GB2312" w:eastAsia="仿宋_GB2312"/>
          <w:sz w:val="32"/>
          <w:szCs w:val="32"/>
        </w:rPr>
        <w:t>《考古调查、勘探、发掘经费预算定额管理办法》（国家文物局(90)文物字第248号）执行。</w:t>
      </w:r>
    </w:p>
    <w:p w14:paraId="40FF30C3">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第十条</w:t>
      </w:r>
      <w:r>
        <w:rPr>
          <w:rFonts w:hint="eastAsia" w:ascii="楷体_GB2312" w:eastAsia="楷体_GB2312"/>
          <w:sz w:val="32"/>
          <w:szCs w:val="32"/>
        </w:rPr>
        <w:t>（申请程序）</w:t>
      </w:r>
    </w:p>
    <w:p w14:paraId="674C3672">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申请考古调查、勘探的，应遵守下列规定：</w:t>
      </w:r>
    </w:p>
    <w:p w14:paraId="26F4E975">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属于本办法第八条第（一）类所列情形的，在土地收储或者供应之前，由规划资源部门征询土地所在地的区文物行政部门意见，对确需组织开展考古调查、勘探的，由土地供应主体向所在地的区文物行政部门提出申请。</w:t>
      </w:r>
    </w:p>
    <w:p w14:paraId="2EAAA808">
      <w:pPr>
        <w:spacing w:line="600" w:lineRule="exact"/>
        <w:rPr>
          <w:rFonts w:hint="eastAsia" w:ascii="仿宋_GB2312" w:eastAsia="仿宋_GB2312"/>
          <w:sz w:val="32"/>
          <w:szCs w:val="32"/>
        </w:rPr>
      </w:pPr>
      <w:r>
        <w:rPr>
          <w:rFonts w:hint="eastAsia" w:ascii="仿宋_GB2312" w:eastAsia="仿宋_GB2312"/>
          <w:sz w:val="32"/>
          <w:szCs w:val="32"/>
        </w:rPr>
        <w:t xml:space="preserve">    （二）属于本办法第八条第（二）类所列情形的，由建设单位在项目可行性研究或者立项审批（核准、备案）阶段，向所在地的区文物行政部门申请。</w:t>
      </w:r>
    </w:p>
    <w:p w14:paraId="4423DBD1">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（三）申请材料包括申请书（需注明申请区域、申请单位、申请考古调查勘探面积等信息)、用地范围矢量坐标数据、申请单位出具的办理该申请事项的授权委托书。其他材料根据实际考古工作需求另行提供。</w:t>
      </w:r>
    </w:p>
    <w:p w14:paraId="65CFA9F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（四）申请考古调查、勘探的单位应当提供真实、完整、准确的用地或者工程范围资料。</w:t>
      </w:r>
    </w:p>
    <w:p w14:paraId="2DB5AF7A">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所在地的区文物行政部门收到上述申请并进行初审后，报市文物行政部门组织开展考古调查、勘探。市级以上大型基本建设工程项目、跨区建设项目可直接向市文物行政部门提出考古调查、勘探申请。</w:t>
      </w:r>
    </w:p>
    <w:p w14:paraId="34455678">
      <w:pPr>
        <w:spacing w:line="600" w:lineRule="exact"/>
        <w:ind w:firstLine="640" w:firstLineChars="200"/>
        <w:rPr>
          <w:rFonts w:hint="eastAsia" w:ascii="仿宋_GB2312" w:eastAsia="仿宋_GB2312"/>
          <w:sz w:val="32"/>
          <w:szCs w:val="32"/>
          <w:highlight w:val="none"/>
        </w:rPr>
      </w:pPr>
      <w:bookmarkStart w:id="0" w:name="_GoBack"/>
      <w:r>
        <w:rPr>
          <w:rFonts w:hint="eastAsia" w:ascii="黑体" w:hAnsi="黑体" w:eastAsia="黑体"/>
          <w:sz w:val="32"/>
          <w:szCs w:val="32"/>
          <w:highlight w:val="none"/>
        </w:rPr>
        <w:t>第十一条</w:t>
      </w:r>
      <w:r>
        <w:rPr>
          <w:rFonts w:hint="eastAsia" w:ascii="楷体_GB2312" w:eastAsia="楷体_GB2312"/>
          <w:sz w:val="32"/>
          <w:szCs w:val="32"/>
          <w:highlight w:val="none"/>
        </w:rPr>
        <w:t>（考古调查、勘探范围）</w:t>
      </w:r>
    </w:p>
    <w:p w14:paraId="5FEBF7F4">
      <w:pPr>
        <w:spacing w:line="60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申请进行考古调查、勘探的范围，应当依据下列用地或者</w:t>
      </w:r>
      <w:r>
        <w:rPr>
          <w:rFonts w:hint="eastAsia" w:ascii="仿宋_GB2312" w:eastAsia="仿宋_GB2312"/>
          <w:sz w:val="32"/>
          <w:szCs w:val="32"/>
          <w:highlight w:val="none"/>
        </w:rPr>
        <w:t>建设</w:t>
      </w:r>
      <w:r>
        <w:rPr>
          <w:rFonts w:ascii="仿宋_GB2312" w:eastAsia="仿宋_GB2312"/>
          <w:sz w:val="32"/>
          <w:szCs w:val="32"/>
          <w:highlight w:val="none"/>
        </w:rPr>
        <w:t>工程范围确定：</w:t>
      </w:r>
    </w:p>
    <w:p w14:paraId="214647A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（一）拟出让或者划拨的用地范围；</w:t>
      </w:r>
    </w:p>
    <w:p w14:paraId="11E4E61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（二）建设工程的永久用地、临时用地范围，以及其他虽无需办理用地手续，但已纳入工程规划设计或者实际施工的范围。</w:t>
      </w:r>
    </w:p>
    <w:p w14:paraId="7519FEB0">
      <w:pPr>
        <w:spacing w:line="600" w:lineRule="exact"/>
        <w:ind w:firstLine="640" w:firstLineChars="200"/>
        <w:rPr>
          <w:rFonts w:hint="eastAsia" w:ascii="仿宋_GB2312" w:eastAsia="仿宋_GB2312"/>
          <w:sz w:val="32"/>
          <w:szCs w:val="32"/>
          <w:highlight w:val="none"/>
        </w:rPr>
      </w:pPr>
      <w:r>
        <w:rPr>
          <w:rFonts w:hint="eastAsia" w:ascii="黑体" w:hAnsi="黑体" w:eastAsia="黑体"/>
          <w:sz w:val="32"/>
          <w:szCs w:val="32"/>
          <w:highlight w:val="none"/>
        </w:rPr>
        <w:t>第十二条</w:t>
      </w:r>
      <w:r>
        <w:rPr>
          <w:rFonts w:hint="eastAsia" w:ascii="楷体_GB2312" w:eastAsia="楷体_GB2312"/>
          <w:sz w:val="32"/>
          <w:szCs w:val="32"/>
          <w:highlight w:val="none"/>
        </w:rPr>
        <w:t>（考古调查、勘探场地条件）</w:t>
      </w:r>
    </w:p>
    <w:bookmarkEnd w:id="0"/>
    <w:p w14:paraId="7054366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申请考古调查、勘探的建设用地应当符合下列条件：</w:t>
      </w:r>
    </w:p>
    <w:p w14:paraId="6D3BC6A5">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（一）界址清楚，具备明确的考古调查、勘探区域的边界桩点或者围挡；</w:t>
      </w:r>
    </w:p>
    <w:p w14:paraId="2ED31889">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（二）硬化地面、覆土、建筑垃圾、农作物等障碍物已清除；</w:t>
      </w:r>
    </w:p>
    <w:p w14:paraId="6B6E91E4">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（三）无建（构）筑物，规划保留的除外；</w:t>
      </w:r>
    </w:p>
    <w:p w14:paraId="6EFC7C6B">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（四）清晰标识地下管线设施的具体位置；</w:t>
      </w:r>
    </w:p>
    <w:p w14:paraId="78CE4A9A">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（五）土地权属清晰，无妨碍考古调查、勘探工作的权属纠纷；</w:t>
      </w:r>
    </w:p>
    <w:p w14:paraId="41692FE0">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（六）法律、法规规定的其他条件。</w:t>
      </w:r>
    </w:p>
    <w:p w14:paraId="56974802">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第十三条</w:t>
      </w:r>
      <w:r>
        <w:rPr>
          <w:rFonts w:hint="eastAsia" w:ascii="楷体_GB2312" w:eastAsia="楷体_GB2312"/>
          <w:sz w:val="32"/>
          <w:szCs w:val="32"/>
        </w:rPr>
        <w:t>（土地清表）</w:t>
      </w:r>
    </w:p>
    <w:p w14:paraId="6BB52E1B">
      <w:pPr>
        <w:spacing w:line="600" w:lineRule="exact"/>
        <w:ind w:firstLine="640"/>
        <w:rPr>
          <w:rFonts w:hint="eastAsia" w:ascii="仿宋_GB2312" w:eastAsia="仿宋_GB2312"/>
          <w:sz w:val="32"/>
          <w:szCs w:val="32"/>
        </w:rPr>
      </w:pPr>
      <w:r>
        <w:rPr>
          <w:rFonts w:hint="eastAsia" w:ascii="仿宋_GB2312" w:eastAsia="仿宋_GB2312"/>
          <w:sz w:val="32"/>
          <w:szCs w:val="32"/>
        </w:rPr>
        <w:t>申请单位应做好申请考古调查、探勘范围的土地清表、地下管线排查、边界桩点确定等前期准备工作，为基本建设考古工作提供必要条件，并配合文物行政部门和考古发掘资质单位完成相关考古调查、勘探工作。</w:t>
      </w:r>
    </w:p>
    <w:p w14:paraId="7ABACF18">
      <w:pPr>
        <w:spacing w:line="600" w:lineRule="exact"/>
        <w:ind w:firstLine="640"/>
        <w:rPr>
          <w:rFonts w:hint="eastAsia" w:ascii="仿宋_GB2312" w:eastAsia="仿宋_GB2312"/>
          <w:sz w:val="32"/>
          <w:szCs w:val="32"/>
        </w:rPr>
      </w:pPr>
      <w:r>
        <w:rPr>
          <w:rFonts w:hint="eastAsia" w:ascii="黑体" w:hAnsi="黑体" w:eastAsia="黑体"/>
          <w:sz w:val="32"/>
          <w:szCs w:val="32"/>
        </w:rPr>
        <w:t>第十四条</w:t>
      </w:r>
      <w:r>
        <w:rPr>
          <w:rFonts w:hint="eastAsia" w:ascii="楷体_GB2312" w:eastAsia="楷体_GB2312"/>
          <w:sz w:val="32"/>
          <w:szCs w:val="32"/>
        </w:rPr>
        <w:t>（场地条件初核）</w:t>
      </w:r>
    </w:p>
    <w:p w14:paraId="4A9FE076">
      <w:pPr>
        <w:spacing w:line="600" w:lineRule="exact"/>
        <w:ind w:firstLine="640"/>
        <w:rPr>
          <w:rFonts w:hint="eastAsia" w:ascii="仿宋_GB2312" w:eastAsia="仿宋_GB2312"/>
          <w:sz w:val="32"/>
          <w:szCs w:val="32"/>
        </w:rPr>
      </w:pPr>
      <w:r>
        <w:rPr>
          <w:rFonts w:hint="eastAsia" w:ascii="仿宋_GB2312" w:eastAsia="仿宋_GB2312"/>
          <w:sz w:val="32"/>
          <w:szCs w:val="32"/>
        </w:rPr>
        <w:t>区文物行政部门对申请项目的场地情况进行初核，确定具备本办法第十二条规定的考古工作进场条件后报市文物行政部门，由市文物行政部门组织考古发掘资质单位进场进行考古调查、勘探工作。</w:t>
      </w:r>
    </w:p>
    <w:p w14:paraId="3D9B3653">
      <w:pPr>
        <w:spacing w:line="600" w:lineRule="exact"/>
        <w:ind w:firstLine="640"/>
        <w:rPr>
          <w:rFonts w:hint="eastAsia" w:ascii="仿宋_GB2312" w:eastAsia="仿宋_GB2312"/>
          <w:sz w:val="32"/>
          <w:szCs w:val="32"/>
        </w:rPr>
      </w:pPr>
      <w:r>
        <w:rPr>
          <w:rFonts w:hint="eastAsia" w:ascii="黑体" w:hAnsi="黑体" w:eastAsia="黑体"/>
          <w:sz w:val="32"/>
          <w:szCs w:val="32"/>
        </w:rPr>
        <w:t>第十五条</w:t>
      </w:r>
      <w:r>
        <w:rPr>
          <w:rFonts w:hint="eastAsia" w:ascii="楷体_GB2312" w:eastAsia="楷体_GB2312"/>
          <w:sz w:val="32"/>
          <w:szCs w:val="32"/>
        </w:rPr>
        <w:t>（签订协议）</w:t>
      </w:r>
    </w:p>
    <w:p w14:paraId="3D278EC6">
      <w:pPr>
        <w:spacing w:line="600" w:lineRule="exact"/>
        <w:ind w:firstLine="640"/>
        <w:rPr>
          <w:rFonts w:hint="eastAsia" w:ascii="仿宋_GB2312" w:eastAsia="仿宋_GB2312"/>
          <w:sz w:val="32"/>
          <w:szCs w:val="32"/>
        </w:rPr>
      </w:pPr>
      <w:r>
        <w:rPr>
          <w:rFonts w:hint="eastAsia" w:ascii="仿宋_GB2312" w:eastAsia="仿宋_GB2312"/>
          <w:sz w:val="32"/>
          <w:szCs w:val="32"/>
        </w:rPr>
        <w:t>考古发掘资质单位应当与申请考古调查、勘探的单位签订考古调查、勘探工作协议。</w:t>
      </w:r>
    </w:p>
    <w:p w14:paraId="1F7D4D0F">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第十六条</w:t>
      </w:r>
      <w:r>
        <w:rPr>
          <w:rFonts w:hint="eastAsia" w:ascii="楷体_GB2312" w:eastAsia="楷体_GB2312"/>
          <w:sz w:val="32"/>
          <w:szCs w:val="32"/>
        </w:rPr>
        <w:t>（考古调查勘探工作时限）</w:t>
      </w:r>
    </w:p>
    <w:p w14:paraId="091823F0">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除雨雪、冰冻、高温等特殊情况外，自考古发掘资质单位进场之日起，占地面积不足5万平方米的，考古调查、勘探工作应当在30个工作日内完成；占地面积5万平方米以上20万平方米以下的，应当在60个工作日内完成；占地面积超过20万平方米的，面积每增加2000平方米，考古调查、勘探时限延长1个工作日。</w:t>
      </w:r>
    </w:p>
    <w:p w14:paraId="0E9008F0">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第十七条</w:t>
      </w:r>
      <w:r>
        <w:rPr>
          <w:rFonts w:hint="eastAsia" w:ascii="楷体_GB2312" w:eastAsia="楷体_GB2312"/>
          <w:sz w:val="32"/>
          <w:szCs w:val="32"/>
        </w:rPr>
        <w:t>（出具报告时限）</w:t>
      </w:r>
    </w:p>
    <w:p w14:paraId="14330F06">
      <w:pPr>
        <w:spacing w:line="600" w:lineRule="exact"/>
        <w:ind w:firstLine="641"/>
        <w:rPr>
          <w:rFonts w:hint="eastAsia" w:ascii="仿宋_GB2312" w:eastAsia="仿宋_GB2312"/>
          <w:sz w:val="32"/>
          <w:szCs w:val="32"/>
        </w:rPr>
      </w:pPr>
      <w:r>
        <w:rPr>
          <w:rFonts w:hint="eastAsia" w:ascii="仿宋_GB2312" w:eastAsia="仿宋_GB2312"/>
          <w:sz w:val="32"/>
          <w:szCs w:val="32"/>
        </w:rPr>
        <w:t>经考古调查或勘探后未发现文物埋藏的，考古发掘资质单位应在编制考古调查、勘探工作报告前，将考古调查、勘探初步结论书面告知市文物行政部门。市文物行政部门审核后，在5个工作日内向区文物行政部门出具简易告知单。</w:t>
      </w:r>
    </w:p>
    <w:p w14:paraId="2FCD5A04">
      <w:pPr>
        <w:spacing w:line="600" w:lineRule="exact"/>
        <w:ind w:firstLine="641"/>
        <w:rPr>
          <w:rFonts w:hint="eastAsia" w:ascii="仿宋_GB2312" w:eastAsia="仿宋_GB2312"/>
          <w:sz w:val="32"/>
          <w:szCs w:val="32"/>
        </w:rPr>
      </w:pPr>
      <w:r>
        <w:rPr>
          <w:rFonts w:hint="eastAsia" w:ascii="仿宋_GB2312" w:eastAsia="仿宋_GB2312"/>
          <w:sz w:val="32"/>
          <w:szCs w:val="32"/>
        </w:rPr>
        <w:t>考古调查报告应当于调查工作结束后10个工作日内完成。考古勘探报告应当于勘探工作结束后20个工作日内完成。</w:t>
      </w:r>
    </w:p>
    <w:p w14:paraId="5C38BD20">
      <w:pPr>
        <w:spacing w:line="600" w:lineRule="exact"/>
        <w:ind w:firstLine="641"/>
        <w:rPr>
          <w:rFonts w:hint="eastAsia" w:ascii="仿宋_GB2312" w:eastAsia="仿宋_GB2312"/>
          <w:sz w:val="32"/>
          <w:szCs w:val="32"/>
        </w:rPr>
      </w:pPr>
      <w:r>
        <w:rPr>
          <w:rFonts w:hint="eastAsia" w:ascii="仿宋_GB2312" w:eastAsia="仿宋_GB2312"/>
          <w:sz w:val="32"/>
          <w:szCs w:val="32"/>
        </w:rPr>
        <w:t>市文物行政部门收到考古调查、勘探工作报告后5个工作日内，提出考古调查、勘探审查意见，由区文物行政部门及时书面告知申请单位。</w:t>
      </w:r>
    </w:p>
    <w:p w14:paraId="35ADFB68">
      <w:pPr>
        <w:spacing w:line="600" w:lineRule="exact"/>
        <w:ind w:firstLine="640"/>
        <w:rPr>
          <w:rFonts w:hint="eastAsia" w:ascii="仿宋_GB2312" w:eastAsia="仿宋_GB2312"/>
          <w:sz w:val="32"/>
          <w:szCs w:val="32"/>
        </w:rPr>
      </w:pPr>
      <w:r>
        <w:rPr>
          <w:rFonts w:hint="eastAsia" w:ascii="黑体" w:hAnsi="黑体" w:eastAsia="黑体"/>
          <w:sz w:val="32"/>
          <w:szCs w:val="32"/>
        </w:rPr>
        <w:t>第十八条</w:t>
      </w:r>
      <w:r>
        <w:rPr>
          <w:rFonts w:hint="eastAsia" w:ascii="楷体_GB2312" w:eastAsia="楷体_GB2312"/>
          <w:sz w:val="32"/>
          <w:szCs w:val="32"/>
        </w:rPr>
        <w:t>（取消、变更申请）</w:t>
      </w:r>
    </w:p>
    <w:p w14:paraId="65F17CE3">
      <w:pPr>
        <w:spacing w:line="600" w:lineRule="exact"/>
        <w:ind w:firstLine="640"/>
        <w:rPr>
          <w:rFonts w:hint="eastAsia" w:ascii="仿宋_GB2312" w:eastAsia="仿宋_GB2312"/>
          <w:sz w:val="32"/>
          <w:szCs w:val="32"/>
        </w:rPr>
      </w:pPr>
      <w:r>
        <w:rPr>
          <w:rFonts w:hint="eastAsia" w:ascii="仿宋_GB2312" w:eastAsia="仿宋_GB2312"/>
          <w:sz w:val="32"/>
          <w:szCs w:val="32"/>
        </w:rPr>
        <w:t>因基本建设工程停滞或变更等原因取消考古调查、勘探申请的，申请单位应按原申请程序及时向市文物行政部门提交情况说明。</w:t>
      </w:r>
    </w:p>
    <w:p w14:paraId="39EE6A2D">
      <w:pPr>
        <w:spacing w:line="800" w:lineRule="exact"/>
        <w:jc w:val="center"/>
        <w:rPr>
          <w:rFonts w:hint="eastAsia" w:ascii="黑体" w:hAnsi="黑体" w:eastAsia="黑体"/>
          <w:sz w:val="32"/>
          <w:szCs w:val="32"/>
        </w:rPr>
      </w:pPr>
      <w:r>
        <w:rPr>
          <w:rFonts w:hint="eastAsia" w:ascii="黑体" w:hAnsi="黑体" w:eastAsia="黑体"/>
          <w:sz w:val="32"/>
          <w:szCs w:val="32"/>
        </w:rPr>
        <w:t>第三章 考古发掘管理</w:t>
      </w:r>
    </w:p>
    <w:p w14:paraId="21789CDA">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第十九条</w:t>
      </w:r>
      <w:r>
        <w:rPr>
          <w:rFonts w:hint="eastAsia" w:ascii="楷体_GB2312" w:eastAsia="楷体_GB2312"/>
          <w:sz w:val="32"/>
          <w:szCs w:val="32"/>
        </w:rPr>
        <w:t>（考古发掘审批）</w:t>
      </w:r>
    </w:p>
    <w:p w14:paraId="6CC8BC8D">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经考古调查、勘探发现文物，需要进行考古发掘的，由市文物行政部门提出发掘计划报国家文物行政部门审批。国家文物行政部门批准后，由市文物行政部门组织考古发掘资质单位开展考古发掘工作。</w:t>
      </w:r>
    </w:p>
    <w:p w14:paraId="2B4A0FFF">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第二十条</w:t>
      </w:r>
      <w:r>
        <w:rPr>
          <w:rFonts w:hint="eastAsia" w:ascii="楷体_GB2312" w:eastAsia="楷体_GB2312"/>
          <w:sz w:val="32"/>
          <w:szCs w:val="32"/>
        </w:rPr>
        <w:t>（考古发掘后处置措施）</w:t>
      </w:r>
    </w:p>
    <w:p w14:paraId="66AE1DB8">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考古发掘结束后，考古发掘资质单位应当于考古发掘工作通过验收后30个工作日内提交考古发掘工作报告。</w:t>
      </w:r>
    </w:p>
    <w:p w14:paraId="324787C1">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根据考古发掘工作报告及专家意见，不需要原址保护的，市文物行政部门应当于收到考古发掘工作报告后10个工作日内出具处理意见，由区文物行政部门及时书面告知申请单位。</w:t>
      </w:r>
    </w:p>
    <w:p w14:paraId="69FD2B3E">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遇有重要考古发现需要原址保护的，市文物行政部门应当明确原址保护要求，由区文物行政部门告知申请单位。需要调整基本建设用地规划的，依法进行调整。</w:t>
      </w:r>
    </w:p>
    <w:p w14:paraId="538FB244">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第二十一条</w:t>
      </w:r>
      <w:r>
        <w:rPr>
          <w:rFonts w:hint="eastAsia" w:ascii="楷体_GB2312" w:eastAsia="楷体_GB2312"/>
          <w:sz w:val="32"/>
          <w:szCs w:val="32"/>
        </w:rPr>
        <w:t>（现场保护）</w:t>
      </w:r>
    </w:p>
    <w:p w14:paraId="600AB53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考古发掘工作开展前，由申请考古调查、勘探的单位加强考古发掘区域的安全管理。</w:t>
      </w:r>
    </w:p>
    <w:p w14:paraId="5186DDBC">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考古发掘过程中，申请单位应当会同考古发掘资质单位加强发掘现场安全管理，具备条件的情况下须完善视频监控等技防设施，确保发掘现场的人员和文物安全。</w:t>
      </w:r>
    </w:p>
    <w:p w14:paraId="52D05933">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考古发掘现场建设临时性文物保护设施、工地安全设施、后勤设施等，需依法依规办理临时用地手续。</w:t>
      </w:r>
    </w:p>
    <w:p w14:paraId="1DFAE580">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第二十二条</w:t>
      </w:r>
      <w:r>
        <w:rPr>
          <w:rFonts w:hint="eastAsia" w:ascii="楷体_GB2312" w:eastAsia="楷体_GB2312"/>
          <w:sz w:val="32"/>
          <w:szCs w:val="32"/>
        </w:rPr>
        <w:t>（禁止发布考古成果）</w:t>
      </w:r>
    </w:p>
    <w:p w14:paraId="05B19BDE">
      <w:pPr>
        <w:spacing w:line="600" w:lineRule="exact"/>
        <w:ind w:firstLine="640" w:firstLineChars="200"/>
        <w:rPr>
          <w:rFonts w:hint="eastAsia" w:ascii="仿宋_GB2312" w:eastAsia="仿宋_GB2312"/>
          <w:sz w:val="32"/>
          <w:szCs w:val="32"/>
        </w:rPr>
      </w:pPr>
      <w:r>
        <w:rPr>
          <w:rFonts w:ascii="仿宋_GB2312" w:eastAsia="仿宋_GB2312"/>
          <w:sz w:val="32"/>
          <w:szCs w:val="32"/>
        </w:rPr>
        <w:t>考古发掘过程中如有重要发现，考古发掘资质单位应及时向</w:t>
      </w:r>
      <w:r>
        <w:rPr>
          <w:rFonts w:hint="eastAsia" w:ascii="仿宋_GB2312" w:eastAsia="仿宋_GB2312"/>
          <w:sz w:val="32"/>
          <w:szCs w:val="32"/>
        </w:rPr>
        <w:t>市</w:t>
      </w:r>
      <w:r>
        <w:rPr>
          <w:rFonts w:ascii="仿宋_GB2312" w:eastAsia="仿宋_GB2312"/>
          <w:sz w:val="32"/>
          <w:szCs w:val="32"/>
        </w:rPr>
        <w:t>文物行政部门书面报告</w:t>
      </w:r>
      <w:r>
        <w:rPr>
          <w:rFonts w:hint="eastAsia" w:ascii="仿宋_GB2312" w:eastAsia="仿宋_GB2312"/>
          <w:sz w:val="32"/>
          <w:szCs w:val="32"/>
        </w:rPr>
        <w:t>。任何单位或个人</w:t>
      </w:r>
      <w:r>
        <w:rPr>
          <w:rFonts w:ascii="仿宋_GB2312" w:eastAsia="仿宋_GB2312"/>
          <w:sz w:val="32"/>
          <w:szCs w:val="32"/>
        </w:rPr>
        <w:t>不得擅自向社会公开发布</w:t>
      </w:r>
      <w:r>
        <w:rPr>
          <w:rFonts w:hint="eastAsia" w:ascii="仿宋_GB2312" w:eastAsia="仿宋_GB2312"/>
          <w:sz w:val="32"/>
          <w:szCs w:val="32"/>
        </w:rPr>
        <w:t>考古发掘成果</w:t>
      </w:r>
      <w:r>
        <w:rPr>
          <w:rFonts w:ascii="仿宋_GB2312" w:eastAsia="仿宋_GB2312"/>
          <w:sz w:val="32"/>
          <w:szCs w:val="32"/>
        </w:rPr>
        <w:t>。</w:t>
      </w:r>
    </w:p>
    <w:p w14:paraId="0C08D632">
      <w:pPr>
        <w:spacing w:line="800" w:lineRule="exact"/>
        <w:jc w:val="center"/>
        <w:rPr>
          <w:rFonts w:hint="eastAsia" w:ascii="黑体" w:hAnsi="黑体" w:eastAsia="黑体"/>
          <w:sz w:val="32"/>
          <w:szCs w:val="32"/>
        </w:rPr>
      </w:pPr>
      <w:r>
        <w:rPr>
          <w:rFonts w:hint="eastAsia" w:ascii="黑体" w:hAnsi="黑体" w:eastAsia="黑体"/>
          <w:sz w:val="32"/>
          <w:szCs w:val="32"/>
        </w:rPr>
        <w:t>第四章 监督管理</w:t>
      </w:r>
    </w:p>
    <w:p w14:paraId="6663B0B1">
      <w:pPr>
        <w:spacing w:line="60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第二十三条</w:t>
      </w:r>
      <w:r>
        <w:rPr>
          <w:rFonts w:hint="eastAsia" w:ascii="楷体_GB2312" w:eastAsia="楷体_GB2312"/>
          <w:sz w:val="32"/>
          <w:szCs w:val="32"/>
        </w:rPr>
        <w:t>（质量监督与检查）</w:t>
      </w:r>
    </w:p>
    <w:p w14:paraId="6A7E412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市文物行政部门应根据工作进度，组织开展对考古调查、勘探、发掘项目开展质量和安全检查。</w:t>
      </w:r>
    </w:p>
    <w:p w14:paraId="775EE7CC">
      <w:pPr>
        <w:spacing w:line="600" w:lineRule="exact"/>
        <w:rPr>
          <w:rFonts w:hint="eastAsia"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rPr>
        <w:t>第二十四条</w:t>
      </w:r>
      <w:r>
        <w:rPr>
          <w:rFonts w:hint="eastAsia" w:ascii="楷体_GB2312" w:hAnsi="黑体" w:eastAsia="楷体_GB2312"/>
          <w:sz w:val="32"/>
          <w:szCs w:val="32"/>
        </w:rPr>
        <w:t>（禁止行为）</w:t>
      </w:r>
    </w:p>
    <w:p w14:paraId="0DDEB24B">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任何单位和个人不得在考古调查、勘探、发掘区域内施工或者进行生产活动，不得阻挠妨碍考古调查、勘探、发掘工作。</w:t>
      </w:r>
    </w:p>
    <w:p w14:paraId="4554A06A">
      <w:pPr>
        <w:spacing w:line="600" w:lineRule="exact"/>
        <w:ind w:firstLine="640" w:firstLineChars="200"/>
        <w:rPr>
          <w:rFonts w:hint="eastAsia" w:ascii="仿宋_GB2312" w:eastAsia="仿宋_GB2312"/>
          <w:sz w:val="32"/>
          <w:szCs w:val="32"/>
        </w:rPr>
      </w:pPr>
      <w:r>
        <w:rPr>
          <w:rFonts w:hint="eastAsia" w:ascii="黑体" w:hAnsi="黑体" w:eastAsia="黑体"/>
          <w:sz w:val="32"/>
          <w:szCs w:val="32"/>
        </w:rPr>
        <w:t>第二十五条</w:t>
      </w:r>
      <w:r>
        <w:rPr>
          <w:rFonts w:hint="eastAsia" w:ascii="楷体_GB2312" w:eastAsia="楷体_GB2312"/>
          <w:sz w:val="32"/>
          <w:szCs w:val="32"/>
        </w:rPr>
        <w:t>（指引性条款）</w:t>
      </w:r>
      <w:r>
        <w:rPr>
          <w:rFonts w:ascii="仿宋_GB2312" w:eastAsia="仿宋_GB2312"/>
          <w:sz w:val="32"/>
          <w:szCs w:val="32"/>
        </w:rPr>
        <w:t> </w:t>
      </w:r>
    </w:p>
    <w:p w14:paraId="198BA85B">
      <w:pPr>
        <w:spacing w:line="600" w:lineRule="exact"/>
        <w:ind w:firstLine="640" w:firstLineChars="200"/>
        <w:rPr>
          <w:rFonts w:hint="eastAsia" w:ascii="仿宋_GB2312" w:eastAsia="仿宋_GB2312"/>
          <w:sz w:val="32"/>
          <w:szCs w:val="32"/>
        </w:rPr>
      </w:pPr>
      <w:r>
        <w:rPr>
          <w:rFonts w:ascii="仿宋_GB2312" w:eastAsia="仿宋_GB2312"/>
          <w:sz w:val="32"/>
          <w:szCs w:val="32"/>
        </w:rPr>
        <w:t>违反本办法规定的行为,法律、法规、规章等已有</w:t>
      </w:r>
      <w:r>
        <w:rPr>
          <w:rFonts w:hint="eastAsia" w:ascii="仿宋_GB2312" w:eastAsia="仿宋_GB2312"/>
          <w:sz w:val="32"/>
          <w:szCs w:val="32"/>
        </w:rPr>
        <w:t>处罚</w:t>
      </w:r>
      <w:r>
        <w:rPr>
          <w:rFonts w:ascii="仿宋_GB2312" w:eastAsia="仿宋_GB2312"/>
          <w:sz w:val="32"/>
          <w:szCs w:val="32"/>
        </w:rPr>
        <w:t>规定的,从其规定。</w:t>
      </w:r>
    </w:p>
    <w:p w14:paraId="6CD04C86">
      <w:pPr>
        <w:spacing w:line="600" w:lineRule="exact"/>
        <w:jc w:val="center"/>
        <w:rPr>
          <w:rFonts w:hint="eastAsia" w:ascii="黑体" w:hAnsi="黑体" w:eastAsia="黑体"/>
          <w:sz w:val="32"/>
          <w:szCs w:val="32"/>
        </w:rPr>
      </w:pPr>
      <w:r>
        <w:rPr>
          <w:rFonts w:hint="eastAsia" w:ascii="黑体" w:hAnsi="黑体" w:eastAsia="黑体"/>
          <w:sz w:val="32"/>
          <w:szCs w:val="32"/>
        </w:rPr>
        <w:t>第五章 附则</w:t>
      </w:r>
    </w:p>
    <w:p w14:paraId="4406E512">
      <w:pPr>
        <w:spacing w:line="600" w:lineRule="exact"/>
        <w:ind w:firstLine="640"/>
        <w:rPr>
          <w:rFonts w:hint="eastAsia" w:ascii="仿宋_GB2312" w:eastAsia="仿宋_GB2312"/>
          <w:sz w:val="32"/>
          <w:szCs w:val="32"/>
        </w:rPr>
      </w:pPr>
      <w:r>
        <w:rPr>
          <w:rFonts w:hint="eastAsia" w:ascii="黑体" w:hAnsi="黑体" w:eastAsia="黑体"/>
          <w:sz w:val="32"/>
          <w:szCs w:val="32"/>
        </w:rPr>
        <w:t>第二十六条</w:t>
      </w:r>
      <w:r>
        <w:rPr>
          <w:rFonts w:hint="eastAsia" w:ascii="楷体_GB2312" w:eastAsia="楷体_GB2312"/>
          <w:sz w:val="32"/>
          <w:szCs w:val="32"/>
        </w:rPr>
        <w:t>（资质管理）</w:t>
      </w:r>
    </w:p>
    <w:p w14:paraId="4E0DF389">
      <w:pPr>
        <w:spacing w:line="600" w:lineRule="exact"/>
        <w:ind w:firstLine="640"/>
        <w:rPr>
          <w:rFonts w:hint="eastAsia" w:ascii="仿宋_GB2312" w:eastAsia="仿宋_GB2312"/>
          <w:sz w:val="32"/>
          <w:szCs w:val="32"/>
        </w:rPr>
      </w:pPr>
      <w:r>
        <w:rPr>
          <w:rFonts w:hint="eastAsia" w:ascii="仿宋_GB2312" w:eastAsia="仿宋_GB2312"/>
          <w:sz w:val="32"/>
          <w:szCs w:val="32"/>
        </w:rPr>
        <w:t>本办法所指考古调查、勘探、发掘实施单位的资质按照国家有关规定执行。</w:t>
      </w:r>
    </w:p>
    <w:p w14:paraId="03FC2CD1">
      <w:pPr>
        <w:spacing w:line="600" w:lineRule="exact"/>
        <w:ind w:firstLine="640"/>
        <w:rPr>
          <w:rFonts w:hint="eastAsia" w:ascii="仿宋_GB2312" w:eastAsia="仿宋_GB2312"/>
          <w:sz w:val="32"/>
          <w:szCs w:val="32"/>
        </w:rPr>
      </w:pPr>
      <w:r>
        <w:rPr>
          <w:rFonts w:hint="eastAsia" w:ascii="黑体" w:hAnsi="黑体" w:eastAsia="黑体"/>
          <w:sz w:val="32"/>
          <w:szCs w:val="32"/>
        </w:rPr>
        <w:t>第二十七条</w:t>
      </w:r>
      <w:r>
        <w:rPr>
          <w:rFonts w:hint="eastAsia" w:ascii="楷体_GB2312" w:eastAsia="楷体_GB2312"/>
          <w:sz w:val="32"/>
          <w:szCs w:val="32"/>
        </w:rPr>
        <w:t>（施行时间）</w:t>
      </w:r>
    </w:p>
    <w:p w14:paraId="22DCEEE7">
      <w:pPr>
        <w:spacing w:line="600" w:lineRule="exact"/>
        <w:ind w:firstLine="640"/>
        <w:rPr>
          <w:rFonts w:hint="eastAsia" w:ascii="仿宋_GB2312" w:eastAsia="仿宋_GB2312"/>
          <w:sz w:val="32"/>
          <w:szCs w:val="32"/>
        </w:rPr>
      </w:pPr>
      <w:r>
        <w:rPr>
          <w:rFonts w:hint="eastAsia" w:ascii="仿宋_GB2312" w:eastAsia="仿宋_GB2312"/>
          <w:sz w:val="32"/>
          <w:szCs w:val="32"/>
        </w:rPr>
        <w:t>本办法自2026年X月X日起施行，有效期两年。</w:t>
      </w:r>
    </w:p>
    <w:sectPr>
      <w:footerReference r:id="rId3" w:type="default"/>
      <w:pgSz w:w="11906" w:h="16838"/>
      <w:pgMar w:top="1440" w:right="1797" w:bottom="1440" w:left="1797"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6588106"/>
      <w:docPartObj>
        <w:docPartGallery w:val="AutoText"/>
      </w:docPartObj>
    </w:sdtPr>
    <w:sdtContent>
      <w:p w14:paraId="61CE2AD4">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04006E5">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1C"/>
    <w:rsid w:val="000019BA"/>
    <w:rsid w:val="00003411"/>
    <w:rsid w:val="00012226"/>
    <w:rsid w:val="00012536"/>
    <w:rsid w:val="00012585"/>
    <w:rsid w:val="000126F9"/>
    <w:rsid w:val="0001559F"/>
    <w:rsid w:val="00035A91"/>
    <w:rsid w:val="000375B2"/>
    <w:rsid w:val="00045EAA"/>
    <w:rsid w:val="0005323F"/>
    <w:rsid w:val="00070937"/>
    <w:rsid w:val="0008068E"/>
    <w:rsid w:val="00092B40"/>
    <w:rsid w:val="000A106E"/>
    <w:rsid w:val="000A18AC"/>
    <w:rsid w:val="000A3741"/>
    <w:rsid w:val="000B0E3D"/>
    <w:rsid w:val="000B6D95"/>
    <w:rsid w:val="000C0932"/>
    <w:rsid w:val="000C5DE8"/>
    <w:rsid w:val="000C6FBC"/>
    <w:rsid w:val="000E4A34"/>
    <w:rsid w:val="000E4AE5"/>
    <w:rsid w:val="00104F02"/>
    <w:rsid w:val="00114619"/>
    <w:rsid w:val="00115D40"/>
    <w:rsid w:val="00120BD2"/>
    <w:rsid w:val="0012234C"/>
    <w:rsid w:val="001230D0"/>
    <w:rsid w:val="00127F5D"/>
    <w:rsid w:val="0014736F"/>
    <w:rsid w:val="00147D89"/>
    <w:rsid w:val="00153DF0"/>
    <w:rsid w:val="00162B7C"/>
    <w:rsid w:val="001644F1"/>
    <w:rsid w:val="0016506F"/>
    <w:rsid w:val="001744CB"/>
    <w:rsid w:val="00185BAE"/>
    <w:rsid w:val="001912A6"/>
    <w:rsid w:val="00191E13"/>
    <w:rsid w:val="001970D6"/>
    <w:rsid w:val="001A04F4"/>
    <w:rsid w:val="001A7CFF"/>
    <w:rsid w:val="001D19D6"/>
    <w:rsid w:val="001D600C"/>
    <w:rsid w:val="001E333E"/>
    <w:rsid w:val="001E4FA5"/>
    <w:rsid w:val="001F03CB"/>
    <w:rsid w:val="001F05EA"/>
    <w:rsid w:val="001F0B9F"/>
    <w:rsid w:val="001F1D78"/>
    <w:rsid w:val="001F1DB2"/>
    <w:rsid w:val="001F3143"/>
    <w:rsid w:val="001F3FA1"/>
    <w:rsid w:val="001F64CF"/>
    <w:rsid w:val="0020214C"/>
    <w:rsid w:val="00204A19"/>
    <w:rsid w:val="00206CD9"/>
    <w:rsid w:val="00214AE6"/>
    <w:rsid w:val="00245D9B"/>
    <w:rsid w:val="0025094A"/>
    <w:rsid w:val="0026213C"/>
    <w:rsid w:val="00263F6F"/>
    <w:rsid w:val="00271E13"/>
    <w:rsid w:val="0028023A"/>
    <w:rsid w:val="00281FD7"/>
    <w:rsid w:val="0029116B"/>
    <w:rsid w:val="00291549"/>
    <w:rsid w:val="002916AC"/>
    <w:rsid w:val="00297D39"/>
    <w:rsid w:val="002B0715"/>
    <w:rsid w:val="002B769B"/>
    <w:rsid w:val="002C1D05"/>
    <w:rsid w:val="002D0BB0"/>
    <w:rsid w:val="002D155B"/>
    <w:rsid w:val="002D344E"/>
    <w:rsid w:val="002D52B8"/>
    <w:rsid w:val="002E28FA"/>
    <w:rsid w:val="002E4D8A"/>
    <w:rsid w:val="002E515B"/>
    <w:rsid w:val="002E520F"/>
    <w:rsid w:val="003269EA"/>
    <w:rsid w:val="003278C9"/>
    <w:rsid w:val="003278EF"/>
    <w:rsid w:val="00335160"/>
    <w:rsid w:val="003371E6"/>
    <w:rsid w:val="00341DF8"/>
    <w:rsid w:val="003546CE"/>
    <w:rsid w:val="00357C72"/>
    <w:rsid w:val="00362713"/>
    <w:rsid w:val="003629E9"/>
    <w:rsid w:val="003678C2"/>
    <w:rsid w:val="00367A9C"/>
    <w:rsid w:val="00376FAD"/>
    <w:rsid w:val="00381B1F"/>
    <w:rsid w:val="0038407F"/>
    <w:rsid w:val="00393861"/>
    <w:rsid w:val="00393AAD"/>
    <w:rsid w:val="0039717F"/>
    <w:rsid w:val="003A1136"/>
    <w:rsid w:val="003C2445"/>
    <w:rsid w:val="003C416A"/>
    <w:rsid w:val="003C6CED"/>
    <w:rsid w:val="003C7743"/>
    <w:rsid w:val="003D349F"/>
    <w:rsid w:val="003E26B7"/>
    <w:rsid w:val="003E5A13"/>
    <w:rsid w:val="003E6C20"/>
    <w:rsid w:val="003F32DF"/>
    <w:rsid w:val="003F353A"/>
    <w:rsid w:val="004012D2"/>
    <w:rsid w:val="00404399"/>
    <w:rsid w:val="004112FE"/>
    <w:rsid w:val="0041752D"/>
    <w:rsid w:val="004236C0"/>
    <w:rsid w:val="00424410"/>
    <w:rsid w:val="00440A68"/>
    <w:rsid w:val="00441A7E"/>
    <w:rsid w:val="00441AA3"/>
    <w:rsid w:val="00441DAC"/>
    <w:rsid w:val="00443E92"/>
    <w:rsid w:val="00447528"/>
    <w:rsid w:val="00451A80"/>
    <w:rsid w:val="00453943"/>
    <w:rsid w:val="0045657D"/>
    <w:rsid w:val="00460632"/>
    <w:rsid w:val="00472128"/>
    <w:rsid w:val="00476224"/>
    <w:rsid w:val="0048064D"/>
    <w:rsid w:val="00480D41"/>
    <w:rsid w:val="0049601E"/>
    <w:rsid w:val="004A2383"/>
    <w:rsid w:val="004A2A63"/>
    <w:rsid w:val="004A5969"/>
    <w:rsid w:val="004A63F4"/>
    <w:rsid w:val="004B491F"/>
    <w:rsid w:val="004B738D"/>
    <w:rsid w:val="004C5E77"/>
    <w:rsid w:val="004E1A58"/>
    <w:rsid w:val="004E3479"/>
    <w:rsid w:val="004F0011"/>
    <w:rsid w:val="004F57DB"/>
    <w:rsid w:val="00512652"/>
    <w:rsid w:val="005150E3"/>
    <w:rsid w:val="005213CC"/>
    <w:rsid w:val="00525010"/>
    <w:rsid w:val="00531D87"/>
    <w:rsid w:val="00544A55"/>
    <w:rsid w:val="00551DE5"/>
    <w:rsid w:val="0055213F"/>
    <w:rsid w:val="00552267"/>
    <w:rsid w:val="0056245F"/>
    <w:rsid w:val="00562B7F"/>
    <w:rsid w:val="00565D75"/>
    <w:rsid w:val="00565E75"/>
    <w:rsid w:val="00576B64"/>
    <w:rsid w:val="00576D2D"/>
    <w:rsid w:val="00580642"/>
    <w:rsid w:val="00582856"/>
    <w:rsid w:val="00592CB9"/>
    <w:rsid w:val="0059312D"/>
    <w:rsid w:val="0059745C"/>
    <w:rsid w:val="005A2DC3"/>
    <w:rsid w:val="005A3301"/>
    <w:rsid w:val="005B66AF"/>
    <w:rsid w:val="005C05F1"/>
    <w:rsid w:val="005C136E"/>
    <w:rsid w:val="005C2287"/>
    <w:rsid w:val="005C4F42"/>
    <w:rsid w:val="005D6AE1"/>
    <w:rsid w:val="005E3FB8"/>
    <w:rsid w:val="005F4214"/>
    <w:rsid w:val="005F59BF"/>
    <w:rsid w:val="005F77DC"/>
    <w:rsid w:val="0060298E"/>
    <w:rsid w:val="00606449"/>
    <w:rsid w:val="0061363C"/>
    <w:rsid w:val="00614F06"/>
    <w:rsid w:val="00625935"/>
    <w:rsid w:val="00625AF6"/>
    <w:rsid w:val="0063239D"/>
    <w:rsid w:val="0063346C"/>
    <w:rsid w:val="00643D6B"/>
    <w:rsid w:val="00644AC9"/>
    <w:rsid w:val="00644D6C"/>
    <w:rsid w:val="00650215"/>
    <w:rsid w:val="00651EFB"/>
    <w:rsid w:val="00652B3B"/>
    <w:rsid w:val="00660A23"/>
    <w:rsid w:val="006613AA"/>
    <w:rsid w:val="006935A0"/>
    <w:rsid w:val="006A4A38"/>
    <w:rsid w:val="006B1CFE"/>
    <w:rsid w:val="006B68BF"/>
    <w:rsid w:val="006C193A"/>
    <w:rsid w:val="006D7935"/>
    <w:rsid w:val="006E3DDC"/>
    <w:rsid w:val="006F3F1B"/>
    <w:rsid w:val="006F4B21"/>
    <w:rsid w:val="006F6D4B"/>
    <w:rsid w:val="006F79FC"/>
    <w:rsid w:val="0072234C"/>
    <w:rsid w:val="0076087F"/>
    <w:rsid w:val="00767088"/>
    <w:rsid w:val="00767DA7"/>
    <w:rsid w:val="00772E73"/>
    <w:rsid w:val="007803E5"/>
    <w:rsid w:val="00780A6E"/>
    <w:rsid w:val="00790E1F"/>
    <w:rsid w:val="007B1B31"/>
    <w:rsid w:val="007B557F"/>
    <w:rsid w:val="007C0B83"/>
    <w:rsid w:val="007C4503"/>
    <w:rsid w:val="007C795D"/>
    <w:rsid w:val="007D3AD5"/>
    <w:rsid w:val="007E5321"/>
    <w:rsid w:val="007E6051"/>
    <w:rsid w:val="007F0507"/>
    <w:rsid w:val="00805377"/>
    <w:rsid w:val="00811111"/>
    <w:rsid w:val="008117BD"/>
    <w:rsid w:val="00813DA5"/>
    <w:rsid w:val="00814491"/>
    <w:rsid w:val="00821ECE"/>
    <w:rsid w:val="00823B86"/>
    <w:rsid w:val="008250D3"/>
    <w:rsid w:val="00826889"/>
    <w:rsid w:val="00842285"/>
    <w:rsid w:val="00843735"/>
    <w:rsid w:val="00847D8D"/>
    <w:rsid w:val="00860A56"/>
    <w:rsid w:val="008617BD"/>
    <w:rsid w:val="00861EA3"/>
    <w:rsid w:val="00864B4E"/>
    <w:rsid w:val="00871A73"/>
    <w:rsid w:val="00875E30"/>
    <w:rsid w:val="00885459"/>
    <w:rsid w:val="00885A0A"/>
    <w:rsid w:val="00892D08"/>
    <w:rsid w:val="00893546"/>
    <w:rsid w:val="0089760A"/>
    <w:rsid w:val="008A28DB"/>
    <w:rsid w:val="008B4A4B"/>
    <w:rsid w:val="008B51DD"/>
    <w:rsid w:val="008B7320"/>
    <w:rsid w:val="008C4760"/>
    <w:rsid w:val="008C5F18"/>
    <w:rsid w:val="008C634A"/>
    <w:rsid w:val="008C745A"/>
    <w:rsid w:val="008D2A72"/>
    <w:rsid w:val="008E5AB2"/>
    <w:rsid w:val="008E7C8D"/>
    <w:rsid w:val="008F0B11"/>
    <w:rsid w:val="008F5067"/>
    <w:rsid w:val="009066F8"/>
    <w:rsid w:val="00906B68"/>
    <w:rsid w:val="00911F68"/>
    <w:rsid w:val="00917AFF"/>
    <w:rsid w:val="00934DB5"/>
    <w:rsid w:val="009417EF"/>
    <w:rsid w:val="0094556F"/>
    <w:rsid w:val="00945EF5"/>
    <w:rsid w:val="0096014A"/>
    <w:rsid w:val="00970AFF"/>
    <w:rsid w:val="00972768"/>
    <w:rsid w:val="009737E7"/>
    <w:rsid w:val="00977CD4"/>
    <w:rsid w:val="009871FB"/>
    <w:rsid w:val="00987C9B"/>
    <w:rsid w:val="009924C5"/>
    <w:rsid w:val="009929AE"/>
    <w:rsid w:val="009946B4"/>
    <w:rsid w:val="009A50B9"/>
    <w:rsid w:val="009A76E3"/>
    <w:rsid w:val="009B46FC"/>
    <w:rsid w:val="009B62AB"/>
    <w:rsid w:val="009B754E"/>
    <w:rsid w:val="009C23B0"/>
    <w:rsid w:val="009D43A0"/>
    <w:rsid w:val="009D4A94"/>
    <w:rsid w:val="009E0ABC"/>
    <w:rsid w:val="009E549D"/>
    <w:rsid w:val="009E5596"/>
    <w:rsid w:val="00A11F2A"/>
    <w:rsid w:val="00A237C4"/>
    <w:rsid w:val="00A32BC3"/>
    <w:rsid w:val="00A36275"/>
    <w:rsid w:val="00A36948"/>
    <w:rsid w:val="00A37601"/>
    <w:rsid w:val="00A4279C"/>
    <w:rsid w:val="00A4791E"/>
    <w:rsid w:val="00A5227F"/>
    <w:rsid w:val="00A5354F"/>
    <w:rsid w:val="00A54102"/>
    <w:rsid w:val="00A81B27"/>
    <w:rsid w:val="00A87EBB"/>
    <w:rsid w:val="00A93182"/>
    <w:rsid w:val="00A933EA"/>
    <w:rsid w:val="00A950FE"/>
    <w:rsid w:val="00AB2F84"/>
    <w:rsid w:val="00AB3626"/>
    <w:rsid w:val="00AB368E"/>
    <w:rsid w:val="00AB5CE5"/>
    <w:rsid w:val="00AC274F"/>
    <w:rsid w:val="00AD443C"/>
    <w:rsid w:val="00AD51F8"/>
    <w:rsid w:val="00AD750E"/>
    <w:rsid w:val="00AE3092"/>
    <w:rsid w:val="00AF3969"/>
    <w:rsid w:val="00AF5E66"/>
    <w:rsid w:val="00B01290"/>
    <w:rsid w:val="00B02363"/>
    <w:rsid w:val="00B20D72"/>
    <w:rsid w:val="00B23CF7"/>
    <w:rsid w:val="00B40EC6"/>
    <w:rsid w:val="00B4113A"/>
    <w:rsid w:val="00B51E67"/>
    <w:rsid w:val="00B54127"/>
    <w:rsid w:val="00B54A9D"/>
    <w:rsid w:val="00B60138"/>
    <w:rsid w:val="00B67BFD"/>
    <w:rsid w:val="00B7241C"/>
    <w:rsid w:val="00B81A72"/>
    <w:rsid w:val="00B910F6"/>
    <w:rsid w:val="00B9167A"/>
    <w:rsid w:val="00B93F8F"/>
    <w:rsid w:val="00B97165"/>
    <w:rsid w:val="00BB015C"/>
    <w:rsid w:val="00BC2333"/>
    <w:rsid w:val="00BC5EBC"/>
    <w:rsid w:val="00BC6385"/>
    <w:rsid w:val="00BD2264"/>
    <w:rsid w:val="00BD3CBC"/>
    <w:rsid w:val="00BE1C80"/>
    <w:rsid w:val="00BE25EA"/>
    <w:rsid w:val="00BE3600"/>
    <w:rsid w:val="00BF6002"/>
    <w:rsid w:val="00C00391"/>
    <w:rsid w:val="00C052E5"/>
    <w:rsid w:val="00C060A8"/>
    <w:rsid w:val="00C11A0C"/>
    <w:rsid w:val="00C14F68"/>
    <w:rsid w:val="00C158EF"/>
    <w:rsid w:val="00C16C74"/>
    <w:rsid w:val="00C21448"/>
    <w:rsid w:val="00C35965"/>
    <w:rsid w:val="00C45BE4"/>
    <w:rsid w:val="00C613DD"/>
    <w:rsid w:val="00C65876"/>
    <w:rsid w:val="00C66EE5"/>
    <w:rsid w:val="00C7478A"/>
    <w:rsid w:val="00C750CE"/>
    <w:rsid w:val="00C7592C"/>
    <w:rsid w:val="00C81D32"/>
    <w:rsid w:val="00C82D40"/>
    <w:rsid w:val="00C842EF"/>
    <w:rsid w:val="00C93171"/>
    <w:rsid w:val="00C957AD"/>
    <w:rsid w:val="00CA154B"/>
    <w:rsid w:val="00CA2A88"/>
    <w:rsid w:val="00CA31EC"/>
    <w:rsid w:val="00CA6A22"/>
    <w:rsid w:val="00CA7794"/>
    <w:rsid w:val="00CB19AE"/>
    <w:rsid w:val="00CC12B6"/>
    <w:rsid w:val="00CF16F0"/>
    <w:rsid w:val="00CF5A80"/>
    <w:rsid w:val="00D07256"/>
    <w:rsid w:val="00D12566"/>
    <w:rsid w:val="00D13754"/>
    <w:rsid w:val="00D15871"/>
    <w:rsid w:val="00D15F4A"/>
    <w:rsid w:val="00D23417"/>
    <w:rsid w:val="00D31948"/>
    <w:rsid w:val="00D40FDF"/>
    <w:rsid w:val="00D47C5E"/>
    <w:rsid w:val="00D52090"/>
    <w:rsid w:val="00D5229F"/>
    <w:rsid w:val="00D54DC1"/>
    <w:rsid w:val="00D620E8"/>
    <w:rsid w:val="00D62E3D"/>
    <w:rsid w:val="00D62E9A"/>
    <w:rsid w:val="00D821BB"/>
    <w:rsid w:val="00D90E7A"/>
    <w:rsid w:val="00D964EE"/>
    <w:rsid w:val="00DA1833"/>
    <w:rsid w:val="00DA2BF8"/>
    <w:rsid w:val="00DB4A24"/>
    <w:rsid w:val="00DC39D1"/>
    <w:rsid w:val="00DC4065"/>
    <w:rsid w:val="00DD0954"/>
    <w:rsid w:val="00DD303F"/>
    <w:rsid w:val="00DE0DBD"/>
    <w:rsid w:val="00DE6E38"/>
    <w:rsid w:val="00DF3581"/>
    <w:rsid w:val="00DF4DBE"/>
    <w:rsid w:val="00E14B14"/>
    <w:rsid w:val="00E16841"/>
    <w:rsid w:val="00E3641B"/>
    <w:rsid w:val="00E46EC1"/>
    <w:rsid w:val="00E52062"/>
    <w:rsid w:val="00E55166"/>
    <w:rsid w:val="00E55A5A"/>
    <w:rsid w:val="00E62AAF"/>
    <w:rsid w:val="00E738B0"/>
    <w:rsid w:val="00E8240A"/>
    <w:rsid w:val="00E932F2"/>
    <w:rsid w:val="00E97BA3"/>
    <w:rsid w:val="00EA2A03"/>
    <w:rsid w:val="00EA748C"/>
    <w:rsid w:val="00EB5C58"/>
    <w:rsid w:val="00EB7692"/>
    <w:rsid w:val="00EC08C5"/>
    <w:rsid w:val="00EC1E83"/>
    <w:rsid w:val="00EC33B4"/>
    <w:rsid w:val="00EC48F8"/>
    <w:rsid w:val="00EC6359"/>
    <w:rsid w:val="00ED0682"/>
    <w:rsid w:val="00ED0A8B"/>
    <w:rsid w:val="00ED72A0"/>
    <w:rsid w:val="00EE41D6"/>
    <w:rsid w:val="00EF1E3A"/>
    <w:rsid w:val="00EF3E37"/>
    <w:rsid w:val="00F03B16"/>
    <w:rsid w:val="00F078B8"/>
    <w:rsid w:val="00F1054B"/>
    <w:rsid w:val="00F14F27"/>
    <w:rsid w:val="00F17568"/>
    <w:rsid w:val="00F20BB3"/>
    <w:rsid w:val="00F20D22"/>
    <w:rsid w:val="00F315FA"/>
    <w:rsid w:val="00F408F4"/>
    <w:rsid w:val="00F41635"/>
    <w:rsid w:val="00F4286A"/>
    <w:rsid w:val="00F42B5B"/>
    <w:rsid w:val="00F449B3"/>
    <w:rsid w:val="00F45CD4"/>
    <w:rsid w:val="00F54F3D"/>
    <w:rsid w:val="00F56485"/>
    <w:rsid w:val="00F65D3A"/>
    <w:rsid w:val="00F66232"/>
    <w:rsid w:val="00F73D1C"/>
    <w:rsid w:val="00F77A50"/>
    <w:rsid w:val="00F9533D"/>
    <w:rsid w:val="00F970E0"/>
    <w:rsid w:val="00FB0C2E"/>
    <w:rsid w:val="00FD45AB"/>
    <w:rsid w:val="00FD4C30"/>
    <w:rsid w:val="00FE0F4E"/>
    <w:rsid w:val="00FE4CAA"/>
    <w:rsid w:val="00FE4DD0"/>
    <w:rsid w:val="00FE7A13"/>
    <w:rsid w:val="00FE7A96"/>
    <w:rsid w:val="00FF19D2"/>
    <w:rsid w:val="00FF25FF"/>
    <w:rsid w:val="7E95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style>
  <w:style w:type="paragraph" w:customStyle="1" w:styleId="9">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3836</Words>
  <Characters>3862</Characters>
  <Lines>111</Lines>
  <Paragraphs>105</Paragraphs>
  <TotalTime>7</TotalTime>
  <ScaleCrop>false</ScaleCrop>
  <LinksUpToDate>false</LinksUpToDate>
  <CharactersWithSpaces>3916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2026-07-18T07:00:00Z</dcterms:created>
  <dc:creator>li jing</dc:creator>
  <cp:lastModifiedBy>袁斌</cp:lastModifiedBy>
  <dcterms:modified xsi:type="dcterms:W3CDTF">2026-07-23T06:01:30Z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eyJoZGlkIjoiYmZjMDcwODAyMWM4YjViZDQwNzZmMmMyMThjNzU2YzAiLCJ1c2VySWQiOiIyODQwODcxMTYifQ==</vt:lpwstr>
  </property>
  <property fmtid="{D5CDD505-2E9C-101B-9397-08002B2CF9AE}" pid="3" name="KSOProductBuildVer">
    <vt:lpwstr>2052-12.1.0.26375</vt:lpwstr>
  </property>
  <property fmtid="{D5CDD505-2E9C-101B-9397-08002B2CF9AE}" pid="4" name="ICV">
    <vt:lpwstr>DBC897A827D1438AA9AAF1AB238DE184_13</vt:lpwstr>
  </property>
</Properties>
</file>