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F74" w:rsidRDefault="00B548EC">
      <w:pPr>
        <w:rPr>
          <w:rFonts w:ascii="仿宋_GB2312" w:eastAsia="仿宋_GB2312" w:hAnsi="仿宋_GB2312" w:cs="仿宋_GB2312"/>
          <w:sz w:val="24"/>
        </w:rPr>
      </w:pPr>
      <w:r>
        <w:rPr>
          <w:rFonts w:ascii="仿宋_GB2312" w:eastAsia="仿宋_GB2312" w:hAnsi="仿宋_GB2312" w:cs="仿宋_GB2312" w:hint="eastAsia"/>
          <w:sz w:val="24"/>
        </w:rPr>
        <w:t>附件</w:t>
      </w:r>
    </w:p>
    <w:p w:rsidR="00865F74" w:rsidRDefault="00B548EC">
      <w:pPr>
        <w:spacing w:line="560" w:lineRule="exact"/>
        <w:ind w:firstLineChars="200" w:firstLine="64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“七五”普法先进单位推荐对象基本情况</w:t>
      </w:r>
    </w:p>
    <w:tbl>
      <w:tblPr>
        <w:tblStyle w:val="a7"/>
        <w:tblW w:w="0" w:type="auto"/>
        <w:tblLook w:val="04A0" w:firstRow="1" w:lastRow="0" w:firstColumn="1" w:lastColumn="0" w:noHBand="0" w:noVBand="1"/>
      </w:tblPr>
      <w:tblGrid>
        <w:gridCol w:w="630"/>
        <w:gridCol w:w="2092"/>
        <w:gridCol w:w="11370"/>
      </w:tblGrid>
      <w:tr w:rsidR="00865F74">
        <w:trPr>
          <w:trHeight w:val="712"/>
        </w:trPr>
        <w:tc>
          <w:tcPr>
            <w:tcW w:w="630" w:type="dxa"/>
            <w:vAlign w:val="center"/>
          </w:tcPr>
          <w:p w:rsidR="00865F74" w:rsidRDefault="00B548EC">
            <w:pPr>
              <w:pStyle w:val="a0"/>
              <w:rPr>
                <w:rFonts w:ascii="仿宋_GB2312" w:eastAsia="仿宋_GB2312" w:hAnsi="仿宋_GB2312" w:cs="仿宋_GB2312"/>
                <w:b/>
                <w:bCs/>
                <w:sz w:val="24"/>
              </w:rPr>
            </w:pPr>
            <w:r>
              <w:rPr>
                <w:rFonts w:ascii="仿宋_GB2312" w:eastAsia="仿宋_GB2312" w:hAnsi="仿宋_GB2312" w:cs="仿宋_GB2312" w:hint="eastAsia"/>
                <w:b/>
                <w:bCs/>
                <w:sz w:val="24"/>
              </w:rPr>
              <w:t>序号</w:t>
            </w:r>
          </w:p>
        </w:tc>
        <w:tc>
          <w:tcPr>
            <w:tcW w:w="2092" w:type="dxa"/>
            <w:vAlign w:val="center"/>
          </w:tcPr>
          <w:p w:rsidR="00865F74" w:rsidRDefault="00B548EC">
            <w:pPr>
              <w:pStyle w:val="a0"/>
              <w:jc w:val="center"/>
              <w:rPr>
                <w:rFonts w:ascii="仿宋_GB2312" w:eastAsia="仿宋_GB2312" w:hAnsi="仿宋_GB2312" w:cs="仿宋_GB2312"/>
                <w:b/>
                <w:bCs/>
                <w:sz w:val="24"/>
              </w:rPr>
            </w:pPr>
            <w:r>
              <w:rPr>
                <w:rFonts w:ascii="仿宋_GB2312" w:eastAsia="仿宋_GB2312" w:hAnsi="仿宋_GB2312" w:cs="仿宋_GB2312" w:hint="eastAsia"/>
                <w:b/>
                <w:bCs/>
                <w:sz w:val="24"/>
              </w:rPr>
              <w:t>单位</w:t>
            </w:r>
          </w:p>
        </w:tc>
        <w:tc>
          <w:tcPr>
            <w:tcW w:w="11370" w:type="dxa"/>
            <w:vAlign w:val="center"/>
          </w:tcPr>
          <w:p w:rsidR="00865F74" w:rsidRDefault="00B548EC">
            <w:pPr>
              <w:pStyle w:val="a0"/>
              <w:jc w:val="center"/>
              <w:rPr>
                <w:rFonts w:ascii="仿宋_GB2312" w:eastAsia="仿宋_GB2312" w:hAnsi="仿宋_GB2312" w:cs="仿宋_GB2312"/>
                <w:b/>
                <w:bCs/>
                <w:sz w:val="24"/>
              </w:rPr>
            </w:pPr>
            <w:r>
              <w:rPr>
                <w:rFonts w:ascii="仿宋_GB2312" w:eastAsia="仿宋_GB2312" w:hAnsi="仿宋_GB2312" w:cs="仿宋_GB2312" w:hint="eastAsia"/>
                <w:b/>
                <w:bCs/>
                <w:sz w:val="24"/>
              </w:rPr>
              <w:t>简要事迹</w:t>
            </w:r>
          </w:p>
        </w:tc>
      </w:tr>
      <w:tr w:rsidR="00865F74">
        <w:tc>
          <w:tcPr>
            <w:tcW w:w="630" w:type="dxa"/>
            <w:vAlign w:val="center"/>
          </w:tcPr>
          <w:p w:rsidR="00865F74" w:rsidRDefault="00B548EC">
            <w:pPr>
              <w:pStyle w:val="a0"/>
              <w:jc w:val="center"/>
            </w:pPr>
            <w:r>
              <w:t>1</w:t>
            </w:r>
          </w:p>
        </w:tc>
        <w:tc>
          <w:tcPr>
            <w:tcW w:w="2092" w:type="dxa"/>
            <w:vAlign w:val="center"/>
          </w:tcPr>
          <w:p w:rsidR="00865F74" w:rsidRDefault="00B548EC">
            <w:pPr>
              <w:pStyle w:val="a0"/>
              <w:jc w:val="center"/>
            </w:pPr>
            <w:r>
              <w:rPr>
                <w:rFonts w:ascii="仿宋" w:eastAsia="仿宋" w:hAnsi="仿宋"/>
                <w:sz w:val="24"/>
              </w:rPr>
              <w:t>上海市</w:t>
            </w:r>
            <w:r>
              <w:rPr>
                <w:rFonts w:ascii="仿宋" w:eastAsia="仿宋" w:hAnsi="仿宋" w:hint="eastAsia"/>
                <w:sz w:val="24"/>
              </w:rPr>
              <w:t>静安区文化和旅游局执法大队</w:t>
            </w:r>
          </w:p>
        </w:tc>
        <w:tc>
          <w:tcPr>
            <w:tcW w:w="11370" w:type="dxa"/>
            <w:vAlign w:val="center"/>
          </w:tcPr>
          <w:p w:rsidR="00865F74" w:rsidRDefault="00B548EC">
            <w:pPr>
              <w:spacing w:line="360" w:lineRule="exact"/>
              <w:ind w:firstLineChars="200" w:firstLine="480"/>
            </w:pPr>
            <w:r>
              <w:rPr>
                <w:rFonts w:ascii="仿宋" w:eastAsia="仿宋" w:hAnsi="仿宋" w:hint="eastAsia"/>
                <w:sz w:val="24"/>
              </w:rPr>
              <w:t>静安区文化和旅游局执法大队始终坚持普法工作与执法办案主业</w:t>
            </w:r>
            <w:proofErr w:type="gramStart"/>
            <w:r>
              <w:rPr>
                <w:rFonts w:ascii="仿宋" w:eastAsia="仿宋" w:hAnsi="仿宋" w:hint="eastAsia"/>
                <w:sz w:val="24"/>
              </w:rPr>
              <w:t>主责同部署</w:t>
            </w:r>
            <w:proofErr w:type="gramEnd"/>
            <w:r>
              <w:rPr>
                <w:rFonts w:ascii="仿宋" w:eastAsia="仿宋" w:hAnsi="仿宋" w:hint="eastAsia"/>
                <w:sz w:val="24"/>
              </w:rPr>
              <w:t>、同检查、同落实，努力将普法教育的优势转化为监管能力的举措</w:t>
            </w:r>
            <w:r>
              <w:rPr>
                <w:rFonts w:ascii="仿宋" w:eastAsia="仿宋" w:hAnsi="仿宋"/>
                <w:sz w:val="24"/>
              </w:rPr>
              <w:t>。</w:t>
            </w:r>
            <w:r>
              <w:rPr>
                <w:rFonts w:ascii="仿宋" w:eastAsia="仿宋" w:hAnsi="仿宋" w:hint="eastAsia"/>
                <w:b/>
                <w:bCs/>
                <w:sz w:val="24"/>
              </w:rPr>
              <w:t>一是开展好新形势下法治宣传教育</w:t>
            </w:r>
            <w:r>
              <w:rPr>
                <w:rFonts w:ascii="仿宋" w:eastAsia="仿宋" w:hAnsi="仿宋"/>
                <w:b/>
                <w:bCs/>
                <w:sz w:val="24"/>
              </w:rPr>
              <w:t>。</w:t>
            </w:r>
            <w:proofErr w:type="gramStart"/>
            <w:r>
              <w:rPr>
                <w:rFonts w:ascii="仿宋" w:eastAsia="仿宋" w:hAnsi="仿宋" w:hint="eastAsia"/>
                <w:sz w:val="24"/>
              </w:rPr>
              <w:t>坚持把习近</w:t>
            </w:r>
            <w:proofErr w:type="gramEnd"/>
            <w:r>
              <w:rPr>
                <w:rFonts w:ascii="仿宋" w:eastAsia="仿宋" w:hAnsi="仿宋" w:hint="eastAsia"/>
                <w:sz w:val="24"/>
              </w:rPr>
              <w:t>平法治思想贯彻到全民普法工作全过程，坚持聚焦执法特色和把握群众需求，从文化执法与市民群众生活密切相关的意识形态、控烟、垃圾分类、旅游维权等角度切入进行宣传设计，主动借用融入区内各种宣传资源，精准有效的将法治精神传递进社区、进楼宇、进校园。</w:t>
            </w:r>
            <w:r>
              <w:rPr>
                <w:rFonts w:ascii="仿宋" w:eastAsia="仿宋" w:hAnsi="仿宋" w:hint="eastAsia"/>
                <w:b/>
                <w:bCs/>
                <w:sz w:val="24"/>
              </w:rPr>
              <w:t>二是打造“文小虎讲堂”普法品牌</w:t>
            </w:r>
            <w:r>
              <w:rPr>
                <w:rFonts w:ascii="仿宋" w:eastAsia="仿宋" w:hAnsi="仿宋"/>
                <w:b/>
                <w:bCs/>
                <w:sz w:val="24"/>
              </w:rPr>
              <w:t>，</w:t>
            </w:r>
            <w:r>
              <w:rPr>
                <w:rFonts w:ascii="仿宋" w:eastAsia="仿宋" w:hAnsi="仿宋" w:hint="eastAsia"/>
                <w:sz w:val="24"/>
              </w:rPr>
              <w:t>围绕文化执法工作内容专门打造“文小虎讲堂”普法专栏，从校园走向社会，从“独唱”转为“合唱”，从静安推向全国，多维度推动“谁执法谁普法”效能升级。制作《文化法韵》系列普法读物和视频，涵盖执法工作、社会热点、案件分析、风险预警与新法解读</w:t>
            </w:r>
            <w:r>
              <w:rPr>
                <w:rFonts w:ascii="仿宋" w:eastAsia="仿宋" w:hAnsi="仿宋" w:hint="eastAsia"/>
                <w:sz w:val="24"/>
              </w:rPr>
              <w:t>等内容，让广大市民群众和学生更好地理解法律规定，自觉执行法律裁决，在法治实践中感受法治精神。</w:t>
            </w:r>
          </w:p>
        </w:tc>
      </w:tr>
      <w:tr w:rsidR="00865F74">
        <w:tc>
          <w:tcPr>
            <w:tcW w:w="630" w:type="dxa"/>
            <w:vAlign w:val="center"/>
          </w:tcPr>
          <w:p w:rsidR="00865F74" w:rsidRDefault="00B548EC">
            <w:pPr>
              <w:pStyle w:val="a0"/>
              <w:jc w:val="center"/>
            </w:pPr>
            <w:r>
              <w:t>2</w:t>
            </w:r>
          </w:p>
        </w:tc>
        <w:tc>
          <w:tcPr>
            <w:tcW w:w="2092" w:type="dxa"/>
            <w:vAlign w:val="center"/>
          </w:tcPr>
          <w:p w:rsidR="00865F74" w:rsidRDefault="00B548EC">
            <w:pPr>
              <w:pStyle w:val="a0"/>
              <w:jc w:val="center"/>
            </w:pPr>
            <w:r>
              <w:rPr>
                <w:rFonts w:ascii="仿宋" w:eastAsia="仿宋" w:hAnsi="仿宋"/>
                <w:sz w:val="24"/>
              </w:rPr>
              <w:t>上海市</w:t>
            </w:r>
            <w:r>
              <w:rPr>
                <w:rFonts w:ascii="仿宋" w:eastAsia="仿宋" w:hAnsi="仿宋" w:hint="eastAsia"/>
                <w:sz w:val="24"/>
              </w:rPr>
              <w:t>嘉定区文化馆</w:t>
            </w:r>
          </w:p>
        </w:tc>
        <w:tc>
          <w:tcPr>
            <w:tcW w:w="11370" w:type="dxa"/>
            <w:vAlign w:val="center"/>
          </w:tcPr>
          <w:p w:rsidR="00865F74" w:rsidRDefault="00B548EC">
            <w:pPr>
              <w:spacing w:line="360" w:lineRule="exact"/>
              <w:ind w:firstLineChars="200" w:firstLine="480"/>
            </w:pPr>
            <w:r>
              <w:rPr>
                <w:rFonts w:ascii="仿宋" w:eastAsia="仿宋" w:hAnsi="仿宋" w:hint="eastAsia"/>
                <w:sz w:val="24"/>
              </w:rPr>
              <w:t>嘉定区文化馆立足自身公共文化服务职能，以多种宣传形式为载体，在全区范围内大力开展普法和依法治理宣传教育活动，形成了广泛的影响力。</w:t>
            </w:r>
            <w:r>
              <w:rPr>
                <w:rFonts w:ascii="仿宋" w:eastAsia="仿宋" w:hAnsi="仿宋"/>
                <w:b/>
                <w:bCs/>
                <w:sz w:val="24"/>
              </w:rPr>
              <w:t>一是</w:t>
            </w:r>
            <w:r>
              <w:rPr>
                <w:rFonts w:ascii="仿宋" w:eastAsia="仿宋" w:hAnsi="仿宋" w:hint="eastAsia"/>
                <w:b/>
                <w:bCs/>
                <w:sz w:val="24"/>
              </w:rPr>
              <w:t>承</w:t>
            </w:r>
            <w:r>
              <w:rPr>
                <w:rFonts w:ascii="仿宋" w:eastAsia="仿宋" w:hAnsi="仿宋" w:hint="eastAsia"/>
                <w:b/>
                <w:sz w:val="24"/>
              </w:rPr>
              <w:t>办国家级重要普法展演，</w:t>
            </w:r>
            <w:r>
              <w:rPr>
                <w:rFonts w:ascii="仿宋" w:eastAsia="仿宋" w:hAnsi="仿宋"/>
                <w:sz w:val="24"/>
              </w:rPr>
              <w:t>连续两届</w:t>
            </w:r>
            <w:r>
              <w:rPr>
                <w:rFonts w:ascii="仿宋" w:eastAsia="仿宋" w:hAnsi="仿宋" w:hint="eastAsia"/>
                <w:sz w:val="24"/>
              </w:rPr>
              <w:t>承办国家级“</w:t>
            </w:r>
            <w:r>
              <w:rPr>
                <w:rFonts w:ascii="仿宋" w:eastAsia="仿宋" w:hAnsi="仿宋" w:cs="宋体" w:hint="eastAsia"/>
                <w:kern w:val="0"/>
                <w:sz w:val="24"/>
              </w:rPr>
              <w:t>嘉定法宝杯”讲好中国法治故事全国曲艺展演</w:t>
            </w:r>
            <w:r>
              <w:rPr>
                <w:rFonts w:ascii="仿宋" w:eastAsia="仿宋" w:hAnsi="仿宋" w:cs="宋体"/>
                <w:kern w:val="0"/>
                <w:sz w:val="24"/>
              </w:rPr>
              <w:t>，</w:t>
            </w:r>
            <w:r>
              <w:rPr>
                <w:rFonts w:ascii="仿宋" w:eastAsia="仿宋" w:hAnsi="仿宋" w:cs="宋体" w:hint="eastAsia"/>
                <w:kern w:val="0"/>
                <w:sz w:val="24"/>
              </w:rPr>
              <w:t>充分发挥曲艺“轻骑兵”作用，讲好法治故事，传递法治精神，彰显嘉定“中国曲艺名城”影响力，打造全国法治文化作品集散地、辐射源。</w:t>
            </w:r>
            <w:r>
              <w:rPr>
                <w:rFonts w:ascii="仿宋" w:eastAsia="仿宋" w:hAnsi="仿宋"/>
                <w:b/>
                <w:sz w:val="24"/>
              </w:rPr>
              <w:t>二是</w:t>
            </w:r>
            <w:r>
              <w:rPr>
                <w:rFonts w:ascii="仿宋" w:eastAsia="仿宋" w:hAnsi="仿宋" w:cs="宋体" w:hint="eastAsia"/>
                <w:b/>
                <w:kern w:val="0"/>
                <w:sz w:val="24"/>
              </w:rPr>
              <w:t>创作百姓喜闻乐见的普法文艺作品</w:t>
            </w:r>
            <w:r>
              <w:rPr>
                <w:rFonts w:ascii="仿宋" w:eastAsia="仿宋" w:hAnsi="仿宋" w:cs="宋体" w:hint="eastAsia"/>
                <w:kern w:val="0"/>
                <w:sz w:val="24"/>
              </w:rPr>
              <w:t>。“七五”普法期间，嘉定区文化馆特色品牌项目“我的舞台我的梦”原创作品展中涌现了一批优秀的法治主题作品，如快板《爸》、故事《两个白头翁》、小品《老有所依》、相声《防骗专家》等，通过“百姓说唱团”巡演走进社区，以生动的表演将贴近生活的法律知识讲述给群众</w:t>
            </w:r>
            <w:r>
              <w:rPr>
                <w:rFonts w:ascii="仿宋" w:eastAsia="仿宋" w:hAnsi="仿宋" w:cs="宋体"/>
                <w:kern w:val="0"/>
                <w:sz w:val="24"/>
              </w:rPr>
              <w:t>，</w:t>
            </w:r>
            <w:r>
              <w:rPr>
                <w:rFonts w:ascii="仿宋" w:eastAsia="仿宋" w:hAnsi="仿宋" w:cs="宋体" w:hint="eastAsia"/>
                <w:kern w:val="0"/>
                <w:sz w:val="24"/>
              </w:rPr>
              <w:t>使法宣工作接地气、聚人气，落实力度得以夯实加强。</w:t>
            </w:r>
          </w:p>
        </w:tc>
      </w:tr>
    </w:tbl>
    <w:p w:rsidR="00865F74" w:rsidRDefault="00865F74">
      <w:pPr>
        <w:pStyle w:val="a0"/>
      </w:pPr>
    </w:p>
    <w:p w:rsidR="00865F74" w:rsidRDefault="00865F74">
      <w:pPr>
        <w:spacing w:line="560" w:lineRule="exact"/>
        <w:ind w:firstLineChars="200" w:firstLine="640"/>
        <w:jc w:val="center"/>
        <w:rPr>
          <w:rFonts w:ascii="方正小标宋简体" w:eastAsia="方正小标宋简体" w:hAnsi="方正小标宋简体" w:cs="方正小标宋简体"/>
          <w:sz w:val="32"/>
          <w:szCs w:val="32"/>
        </w:rPr>
      </w:pPr>
    </w:p>
    <w:p w:rsidR="00865F74" w:rsidRDefault="00B548EC">
      <w:pPr>
        <w:spacing w:line="560" w:lineRule="exact"/>
        <w:ind w:firstLineChars="200" w:firstLine="64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“七五”普法优秀个人推荐对象基本情况</w:t>
      </w:r>
    </w:p>
    <w:tbl>
      <w:tblPr>
        <w:tblStyle w:val="a7"/>
        <w:tblW w:w="0" w:type="auto"/>
        <w:tblLook w:val="04A0" w:firstRow="1" w:lastRow="0" w:firstColumn="1" w:lastColumn="0" w:noHBand="0" w:noVBand="1"/>
      </w:tblPr>
      <w:tblGrid>
        <w:gridCol w:w="622"/>
        <w:gridCol w:w="730"/>
        <w:gridCol w:w="740"/>
        <w:gridCol w:w="1240"/>
        <w:gridCol w:w="10840"/>
      </w:tblGrid>
      <w:tr w:rsidR="00865F74">
        <w:tc>
          <w:tcPr>
            <w:tcW w:w="622" w:type="dxa"/>
            <w:vAlign w:val="center"/>
          </w:tcPr>
          <w:p w:rsidR="00865F74" w:rsidRDefault="00B548EC">
            <w:pPr>
              <w:pStyle w:val="a0"/>
              <w:jc w:val="center"/>
              <w:rPr>
                <w:rFonts w:ascii="仿宋_GB2312" w:eastAsia="仿宋_GB2312" w:hAnsi="仿宋_GB2312" w:cs="仿宋_GB2312"/>
                <w:b/>
                <w:bCs/>
                <w:sz w:val="24"/>
              </w:rPr>
            </w:pPr>
            <w:r>
              <w:rPr>
                <w:rFonts w:ascii="仿宋_GB2312" w:eastAsia="仿宋_GB2312" w:hAnsi="仿宋_GB2312" w:cs="仿宋_GB2312"/>
                <w:b/>
                <w:bCs/>
                <w:sz w:val="24"/>
              </w:rPr>
              <w:t>序号</w:t>
            </w:r>
          </w:p>
        </w:tc>
        <w:tc>
          <w:tcPr>
            <w:tcW w:w="730" w:type="dxa"/>
            <w:vAlign w:val="center"/>
          </w:tcPr>
          <w:p w:rsidR="00865F74" w:rsidRDefault="00B548EC">
            <w:pPr>
              <w:pStyle w:val="a0"/>
              <w:jc w:val="center"/>
              <w:rPr>
                <w:rFonts w:ascii="仿宋_GB2312" w:eastAsia="仿宋_GB2312" w:hAnsi="仿宋_GB2312" w:cs="仿宋_GB2312"/>
                <w:b/>
                <w:bCs/>
                <w:sz w:val="24"/>
              </w:rPr>
            </w:pPr>
            <w:r>
              <w:rPr>
                <w:rFonts w:ascii="仿宋_GB2312" w:eastAsia="仿宋_GB2312" w:hAnsi="仿宋_GB2312" w:cs="仿宋_GB2312"/>
                <w:b/>
                <w:bCs/>
                <w:sz w:val="24"/>
              </w:rPr>
              <w:t>姓名</w:t>
            </w:r>
          </w:p>
        </w:tc>
        <w:tc>
          <w:tcPr>
            <w:tcW w:w="740" w:type="dxa"/>
            <w:vAlign w:val="center"/>
          </w:tcPr>
          <w:p w:rsidR="00865F74" w:rsidRDefault="00B548EC">
            <w:pPr>
              <w:pStyle w:val="a0"/>
              <w:jc w:val="center"/>
              <w:rPr>
                <w:rFonts w:ascii="仿宋_GB2312" w:eastAsia="仿宋_GB2312" w:hAnsi="仿宋_GB2312" w:cs="仿宋_GB2312"/>
                <w:b/>
                <w:bCs/>
                <w:sz w:val="24"/>
              </w:rPr>
            </w:pPr>
            <w:r>
              <w:rPr>
                <w:rFonts w:ascii="仿宋_GB2312" w:eastAsia="仿宋_GB2312" w:hAnsi="仿宋_GB2312" w:cs="仿宋_GB2312"/>
                <w:b/>
                <w:bCs/>
                <w:sz w:val="24"/>
              </w:rPr>
              <w:t>性别</w:t>
            </w:r>
          </w:p>
        </w:tc>
        <w:tc>
          <w:tcPr>
            <w:tcW w:w="1240" w:type="dxa"/>
            <w:vAlign w:val="center"/>
          </w:tcPr>
          <w:p w:rsidR="00865F74" w:rsidRDefault="00B548EC">
            <w:pPr>
              <w:pStyle w:val="a0"/>
              <w:jc w:val="center"/>
              <w:rPr>
                <w:rFonts w:ascii="仿宋_GB2312" w:eastAsia="仿宋_GB2312" w:hAnsi="仿宋_GB2312" w:cs="仿宋_GB2312"/>
                <w:b/>
                <w:bCs/>
                <w:sz w:val="24"/>
              </w:rPr>
            </w:pPr>
            <w:r>
              <w:rPr>
                <w:rFonts w:ascii="仿宋_GB2312" w:eastAsia="仿宋_GB2312" w:hAnsi="仿宋_GB2312" w:cs="仿宋_GB2312"/>
                <w:b/>
                <w:bCs/>
                <w:sz w:val="24"/>
              </w:rPr>
              <w:t>职务</w:t>
            </w:r>
          </w:p>
        </w:tc>
        <w:tc>
          <w:tcPr>
            <w:tcW w:w="10840" w:type="dxa"/>
            <w:vAlign w:val="center"/>
          </w:tcPr>
          <w:p w:rsidR="00865F74" w:rsidRDefault="00B548EC">
            <w:pPr>
              <w:pStyle w:val="a0"/>
              <w:jc w:val="center"/>
              <w:rPr>
                <w:rFonts w:ascii="仿宋_GB2312" w:eastAsia="仿宋_GB2312" w:hAnsi="仿宋_GB2312" w:cs="仿宋_GB2312"/>
                <w:b/>
                <w:bCs/>
                <w:sz w:val="24"/>
              </w:rPr>
            </w:pPr>
            <w:r>
              <w:rPr>
                <w:rFonts w:ascii="仿宋_GB2312" w:eastAsia="仿宋_GB2312" w:hAnsi="仿宋_GB2312" w:cs="仿宋_GB2312"/>
                <w:b/>
                <w:bCs/>
                <w:sz w:val="24"/>
              </w:rPr>
              <w:t>简要事迹</w:t>
            </w:r>
          </w:p>
        </w:tc>
      </w:tr>
      <w:tr w:rsidR="00865F74">
        <w:tc>
          <w:tcPr>
            <w:tcW w:w="622" w:type="dxa"/>
            <w:vAlign w:val="center"/>
          </w:tcPr>
          <w:p w:rsidR="00865F74" w:rsidRDefault="00B548EC">
            <w:pPr>
              <w:pStyle w:val="a0"/>
              <w:jc w:val="center"/>
            </w:pPr>
            <w:r>
              <w:t>1</w:t>
            </w:r>
          </w:p>
        </w:tc>
        <w:tc>
          <w:tcPr>
            <w:tcW w:w="730" w:type="dxa"/>
            <w:vAlign w:val="center"/>
          </w:tcPr>
          <w:p w:rsidR="00865F74" w:rsidRDefault="00B548EC">
            <w:pPr>
              <w:pStyle w:val="a0"/>
              <w:jc w:val="center"/>
            </w:pPr>
            <w:r>
              <w:rPr>
                <w:rFonts w:ascii="仿宋" w:eastAsia="仿宋" w:hAnsi="仿宋" w:hint="eastAsia"/>
                <w:sz w:val="24"/>
              </w:rPr>
              <w:t>李莉</w:t>
            </w:r>
          </w:p>
        </w:tc>
        <w:tc>
          <w:tcPr>
            <w:tcW w:w="740" w:type="dxa"/>
            <w:vAlign w:val="center"/>
          </w:tcPr>
          <w:p w:rsidR="00865F74" w:rsidRDefault="00B548EC">
            <w:pPr>
              <w:pStyle w:val="a0"/>
              <w:jc w:val="center"/>
              <w:rPr>
                <w:rFonts w:ascii="仿宋" w:eastAsia="仿宋" w:hAnsi="仿宋"/>
                <w:sz w:val="24"/>
              </w:rPr>
            </w:pPr>
            <w:r>
              <w:rPr>
                <w:rFonts w:ascii="仿宋" w:eastAsia="仿宋" w:hAnsi="仿宋"/>
                <w:sz w:val="24"/>
              </w:rPr>
              <w:t>女</w:t>
            </w:r>
          </w:p>
        </w:tc>
        <w:tc>
          <w:tcPr>
            <w:tcW w:w="1240" w:type="dxa"/>
            <w:vAlign w:val="center"/>
          </w:tcPr>
          <w:p w:rsidR="00865F74" w:rsidRDefault="00B548EC">
            <w:pPr>
              <w:pStyle w:val="a0"/>
              <w:jc w:val="center"/>
              <w:rPr>
                <w:rFonts w:ascii="仿宋" w:eastAsia="仿宋" w:hAnsi="仿宋"/>
                <w:sz w:val="24"/>
              </w:rPr>
            </w:pPr>
            <w:r>
              <w:rPr>
                <w:rFonts w:ascii="仿宋" w:eastAsia="仿宋" w:hAnsi="仿宋" w:hint="eastAsia"/>
                <w:sz w:val="24"/>
              </w:rPr>
              <w:t>上海市浦东新区文体旅游局执法大队法规科三级主办</w:t>
            </w:r>
          </w:p>
        </w:tc>
        <w:tc>
          <w:tcPr>
            <w:tcW w:w="10840" w:type="dxa"/>
            <w:vAlign w:val="center"/>
          </w:tcPr>
          <w:p w:rsidR="00865F74" w:rsidRDefault="00B548EC">
            <w:pPr>
              <w:spacing w:line="360" w:lineRule="exact"/>
              <w:ind w:firstLineChars="200" w:firstLine="480"/>
              <w:rPr>
                <w:rFonts w:ascii="仿宋" w:eastAsia="仿宋" w:hAnsi="仿宋"/>
                <w:sz w:val="24"/>
              </w:rPr>
            </w:pPr>
            <w:r>
              <w:rPr>
                <w:rFonts w:ascii="仿宋" w:eastAsia="仿宋" w:hAnsi="仿宋" w:hint="eastAsia"/>
                <w:sz w:val="24"/>
              </w:rPr>
              <w:t>李莉</w:t>
            </w:r>
            <w:r>
              <w:rPr>
                <w:rFonts w:ascii="仿宋" w:eastAsia="仿宋" w:hAnsi="仿宋"/>
                <w:sz w:val="24"/>
              </w:rPr>
              <w:t>同志</w:t>
            </w:r>
            <w:r>
              <w:rPr>
                <w:rFonts w:ascii="仿宋" w:eastAsia="仿宋" w:hAnsi="仿宋" w:hint="eastAsia"/>
                <w:sz w:val="24"/>
              </w:rPr>
              <w:t>始终坚持以习近平新时代中国特色社会主义思想为指导，认真学习宣传贯彻习近平法治思想及文化执法领域的法律法规，严格落实普法工作要求，在举报受理、案件审核、信息简报、法治培训等多环节开展法治宣传教育。七五以来，梳理执法依据</w:t>
            </w:r>
            <w:r>
              <w:rPr>
                <w:rFonts w:ascii="仿宋" w:eastAsia="仿宋" w:hAnsi="仿宋" w:hint="eastAsia"/>
                <w:sz w:val="24"/>
              </w:rPr>
              <w:t>100</w:t>
            </w:r>
            <w:r>
              <w:rPr>
                <w:rFonts w:ascii="仿宋" w:eastAsia="仿宋" w:hAnsi="仿宋" w:hint="eastAsia"/>
                <w:sz w:val="24"/>
              </w:rPr>
              <w:t>余项，执法事权清单</w:t>
            </w:r>
            <w:r>
              <w:rPr>
                <w:rFonts w:ascii="仿宋" w:eastAsia="仿宋" w:hAnsi="仿宋" w:hint="eastAsia"/>
                <w:sz w:val="24"/>
              </w:rPr>
              <w:t>800</w:t>
            </w:r>
            <w:r>
              <w:rPr>
                <w:rFonts w:ascii="仿宋" w:eastAsia="仿宋" w:hAnsi="仿宋" w:hint="eastAsia"/>
                <w:sz w:val="24"/>
              </w:rPr>
              <w:t>余项；受理投诉举报</w:t>
            </w:r>
            <w:r>
              <w:rPr>
                <w:rFonts w:ascii="仿宋" w:eastAsia="仿宋" w:hAnsi="仿宋" w:hint="eastAsia"/>
                <w:sz w:val="24"/>
              </w:rPr>
              <w:t>6622</w:t>
            </w:r>
            <w:r>
              <w:rPr>
                <w:rFonts w:ascii="仿宋" w:eastAsia="仿宋" w:hAnsi="仿宋" w:hint="eastAsia"/>
                <w:sz w:val="24"/>
              </w:rPr>
              <w:t>件，审核行政处罚案件</w:t>
            </w:r>
            <w:r>
              <w:rPr>
                <w:rFonts w:ascii="仿宋" w:eastAsia="仿宋" w:hAnsi="仿宋" w:hint="eastAsia"/>
                <w:sz w:val="24"/>
              </w:rPr>
              <w:t>800</w:t>
            </w:r>
            <w:r>
              <w:rPr>
                <w:rFonts w:ascii="仿宋" w:eastAsia="仿宋" w:hAnsi="仿宋" w:hint="eastAsia"/>
                <w:sz w:val="24"/>
              </w:rPr>
              <w:t>件，编发法治工作提示</w:t>
            </w:r>
            <w:r>
              <w:rPr>
                <w:rFonts w:ascii="仿宋" w:eastAsia="仿宋" w:hAnsi="仿宋" w:hint="eastAsia"/>
                <w:sz w:val="24"/>
              </w:rPr>
              <w:t>37</w:t>
            </w:r>
            <w:r>
              <w:rPr>
                <w:rFonts w:ascii="仿宋" w:eastAsia="仿宋" w:hAnsi="仿宋" w:hint="eastAsia"/>
                <w:sz w:val="24"/>
              </w:rPr>
              <w:t>份，组织重大案件集体讨论</w:t>
            </w:r>
            <w:r>
              <w:rPr>
                <w:rFonts w:ascii="仿宋" w:eastAsia="仿宋" w:hAnsi="仿宋" w:hint="eastAsia"/>
                <w:sz w:val="24"/>
              </w:rPr>
              <w:t>84</w:t>
            </w:r>
            <w:r>
              <w:rPr>
                <w:rFonts w:ascii="仿宋" w:eastAsia="仿宋" w:hAnsi="仿宋" w:hint="eastAsia"/>
                <w:sz w:val="24"/>
              </w:rPr>
              <w:t>起，均无行政复议诉讼败诉案件；编发执法简报</w:t>
            </w:r>
            <w:r>
              <w:rPr>
                <w:rFonts w:ascii="仿宋" w:eastAsia="仿宋" w:hAnsi="仿宋" w:hint="eastAsia"/>
                <w:sz w:val="24"/>
              </w:rPr>
              <w:t>165</w:t>
            </w:r>
            <w:r>
              <w:rPr>
                <w:rFonts w:ascii="仿宋" w:eastAsia="仿宋" w:hAnsi="仿宋" w:hint="eastAsia"/>
                <w:sz w:val="24"/>
              </w:rPr>
              <w:t>期，组织法治宣传培训</w:t>
            </w:r>
            <w:r>
              <w:rPr>
                <w:rFonts w:ascii="仿宋" w:eastAsia="仿宋" w:hAnsi="仿宋" w:hint="eastAsia"/>
                <w:sz w:val="24"/>
              </w:rPr>
              <w:t>50</w:t>
            </w:r>
            <w:r>
              <w:rPr>
                <w:rFonts w:ascii="仿宋" w:eastAsia="仿宋" w:hAnsi="仿宋" w:hint="eastAsia"/>
                <w:sz w:val="24"/>
              </w:rPr>
              <w:t>余次，对多起典型疑难案例进行以案释法，并结合宪法宣传周、世界旅游日、世界无烟日等重要时间节</w:t>
            </w:r>
            <w:r>
              <w:rPr>
                <w:rFonts w:ascii="仿宋" w:eastAsia="仿宋" w:hAnsi="仿宋" w:hint="eastAsia"/>
                <w:sz w:val="24"/>
              </w:rPr>
              <w:t>点在浦东图书馆、望江</w:t>
            </w:r>
            <w:proofErr w:type="gramStart"/>
            <w:r>
              <w:rPr>
                <w:rFonts w:ascii="仿宋" w:eastAsia="仿宋" w:hAnsi="仿宋" w:hint="eastAsia"/>
                <w:sz w:val="24"/>
              </w:rPr>
              <w:t>驿</w:t>
            </w:r>
            <w:proofErr w:type="gramEnd"/>
            <w:r>
              <w:rPr>
                <w:rFonts w:ascii="仿宋" w:eastAsia="仿宋" w:hAnsi="仿宋" w:hint="eastAsia"/>
                <w:sz w:val="24"/>
              </w:rPr>
              <w:t>和国际旅游度假区等重点区域开展普法宣传活动</w:t>
            </w:r>
            <w:r>
              <w:rPr>
                <w:rFonts w:ascii="仿宋" w:eastAsia="仿宋" w:hAnsi="仿宋"/>
                <w:sz w:val="24"/>
              </w:rPr>
              <w:t>；</w:t>
            </w:r>
            <w:r>
              <w:rPr>
                <w:rFonts w:ascii="仿宋" w:eastAsia="仿宋" w:hAnsi="仿宋" w:hint="eastAsia"/>
                <w:sz w:val="24"/>
              </w:rPr>
              <w:t>加大对文化场所室内禁烟</w:t>
            </w:r>
            <w:r>
              <w:rPr>
                <w:rFonts w:ascii="仿宋" w:eastAsia="仿宋" w:hAnsi="仿宋"/>
                <w:sz w:val="24"/>
              </w:rPr>
              <w:t>、</w:t>
            </w:r>
            <w:r>
              <w:rPr>
                <w:rFonts w:ascii="仿宋" w:eastAsia="仿宋" w:hAnsi="仿宋" w:hint="eastAsia"/>
                <w:sz w:val="24"/>
              </w:rPr>
              <w:t>重点景区非法一日游执法宣传力度</w:t>
            </w:r>
            <w:r>
              <w:rPr>
                <w:rFonts w:ascii="仿宋" w:eastAsia="仿宋" w:hAnsi="仿宋"/>
                <w:sz w:val="24"/>
              </w:rPr>
              <w:t>，</w:t>
            </w:r>
            <w:r>
              <w:rPr>
                <w:rFonts w:ascii="仿宋" w:eastAsia="仿宋" w:hAnsi="仿宋" w:hint="eastAsia"/>
                <w:sz w:val="24"/>
              </w:rPr>
              <w:t>结合“扫黄打非”，开展法治宣传进基层进社区进校园工作。</w:t>
            </w:r>
          </w:p>
        </w:tc>
      </w:tr>
      <w:tr w:rsidR="00865F74">
        <w:tc>
          <w:tcPr>
            <w:tcW w:w="622" w:type="dxa"/>
            <w:vAlign w:val="center"/>
          </w:tcPr>
          <w:p w:rsidR="00865F74" w:rsidRDefault="00B548EC">
            <w:pPr>
              <w:pStyle w:val="a0"/>
              <w:jc w:val="center"/>
            </w:pPr>
            <w:r>
              <w:t>2</w:t>
            </w:r>
          </w:p>
        </w:tc>
        <w:tc>
          <w:tcPr>
            <w:tcW w:w="730" w:type="dxa"/>
            <w:vAlign w:val="center"/>
          </w:tcPr>
          <w:p w:rsidR="00865F74" w:rsidRDefault="00B548EC">
            <w:pPr>
              <w:pStyle w:val="a0"/>
              <w:jc w:val="center"/>
            </w:pPr>
            <w:r>
              <w:rPr>
                <w:rFonts w:ascii="仿宋" w:eastAsia="仿宋" w:hAnsi="仿宋" w:hint="eastAsia"/>
                <w:sz w:val="24"/>
              </w:rPr>
              <w:t>胡福</w:t>
            </w:r>
            <w:proofErr w:type="gramStart"/>
            <w:r>
              <w:rPr>
                <w:rFonts w:ascii="仿宋" w:eastAsia="仿宋" w:hAnsi="仿宋" w:hint="eastAsia"/>
                <w:sz w:val="24"/>
              </w:rPr>
              <w:t>斌</w:t>
            </w:r>
            <w:proofErr w:type="gramEnd"/>
          </w:p>
        </w:tc>
        <w:tc>
          <w:tcPr>
            <w:tcW w:w="740" w:type="dxa"/>
            <w:vAlign w:val="center"/>
          </w:tcPr>
          <w:p w:rsidR="00865F74" w:rsidRDefault="00B548EC">
            <w:pPr>
              <w:pStyle w:val="a0"/>
              <w:jc w:val="center"/>
              <w:rPr>
                <w:rFonts w:ascii="仿宋" w:eastAsia="仿宋" w:hAnsi="仿宋"/>
                <w:sz w:val="24"/>
              </w:rPr>
            </w:pPr>
            <w:r>
              <w:rPr>
                <w:rFonts w:ascii="仿宋" w:eastAsia="仿宋" w:hAnsi="仿宋"/>
                <w:sz w:val="24"/>
              </w:rPr>
              <w:t>男</w:t>
            </w:r>
          </w:p>
        </w:tc>
        <w:tc>
          <w:tcPr>
            <w:tcW w:w="1240" w:type="dxa"/>
            <w:vAlign w:val="center"/>
          </w:tcPr>
          <w:p w:rsidR="00865F74" w:rsidRDefault="00B548EC">
            <w:pPr>
              <w:pStyle w:val="a0"/>
              <w:jc w:val="center"/>
              <w:rPr>
                <w:rFonts w:ascii="仿宋" w:eastAsia="仿宋" w:hAnsi="仿宋"/>
                <w:sz w:val="24"/>
              </w:rPr>
            </w:pPr>
            <w:r>
              <w:rPr>
                <w:rFonts w:ascii="仿宋" w:eastAsia="仿宋" w:hAnsi="仿宋" w:hint="eastAsia"/>
                <w:sz w:val="24"/>
              </w:rPr>
              <w:t>杨浦区文化和旅游局市场管理科科长</w:t>
            </w:r>
          </w:p>
        </w:tc>
        <w:tc>
          <w:tcPr>
            <w:tcW w:w="10840" w:type="dxa"/>
            <w:vAlign w:val="center"/>
          </w:tcPr>
          <w:p w:rsidR="00865F74" w:rsidRDefault="00B548EC">
            <w:pPr>
              <w:spacing w:line="360" w:lineRule="exact"/>
              <w:ind w:firstLineChars="200" w:firstLine="480"/>
            </w:pPr>
            <w:r>
              <w:rPr>
                <w:rFonts w:ascii="仿宋" w:eastAsia="仿宋" w:hAnsi="仿宋" w:hint="eastAsia"/>
                <w:sz w:val="24"/>
              </w:rPr>
              <w:t>胡福</w:t>
            </w:r>
            <w:proofErr w:type="gramStart"/>
            <w:r>
              <w:rPr>
                <w:rFonts w:ascii="仿宋" w:eastAsia="仿宋" w:hAnsi="仿宋" w:hint="eastAsia"/>
                <w:sz w:val="24"/>
              </w:rPr>
              <w:t>斌</w:t>
            </w:r>
            <w:proofErr w:type="gramEnd"/>
            <w:r>
              <w:rPr>
                <w:rFonts w:ascii="仿宋" w:eastAsia="仿宋" w:hAnsi="仿宋" w:hint="eastAsia"/>
                <w:sz w:val="24"/>
              </w:rPr>
              <w:t>同志坚持以习近平新时代中国特色社会主义思想为指导，认真学</w:t>
            </w:r>
            <w:proofErr w:type="gramStart"/>
            <w:r>
              <w:rPr>
                <w:rFonts w:ascii="仿宋" w:eastAsia="仿宋" w:hAnsi="仿宋" w:hint="eastAsia"/>
                <w:sz w:val="24"/>
              </w:rPr>
              <w:t>习习近</w:t>
            </w:r>
            <w:proofErr w:type="gramEnd"/>
            <w:r>
              <w:rPr>
                <w:rFonts w:ascii="仿宋" w:eastAsia="仿宋" w:hAnsi="仿宋" w:hint="eastAsia"/>
                <w:sz w:val="24"/>
              </w:rPr>
              <w:t>平法治思想，在思想上政治上行动上始终与党中央保持高度一致，模范遵守宪法与法律法规。</w:t>
            </w:r>
            <w:r>
              <w:rPr>
                <w:rFonts w:ascii="仿宋" w:eastAsia="仿宋" w:hAnsi="仿宋" w:hint="eastAsia"/>
                <w:sz w:val="24"/>
              </w:rPr>
              <w:t>结合行业实际，</w:t>
            </w:r>
            <w:r>
              <w:rPr>
                <w:rFonts w:ascii="仿宋" w:eastAsia="仿宋" w:hAnsi="仿宋" w:hint="eastAsia"/>
                <w:sz w:val="24"/>
              </w:rPr>
              <w:t>参与</w:t>
            </w:r>
            <w:r>
              <w:rPr>
                <w:rFonts w:ascii="仿宋" w:eastAsia="仿宋" w:hAnsi="仿宋" w:hint="eastAsia"/>
                <w:sz w:val="24"/>
              </w:rPr>
              <w:t>制定了系统“七五”普法规划和普法依法治理重点项目表</w:t>
            </w:r>
            <w:r>
              <w:rPr>
                <w:rFonts w:ascii="仿宋" w:eastAsia="仿宋" w:hAnsi="仿宋"/>
                <w:sz w:val="24"/>
              </w:rPr>
              <w:t>；</w:t>
            </w:r>
            <w:proofErr w:type="gramStart"/>
            <w:r>
              <w:rPr>
                <w:rFonts w:ascii="仿宋" w:eastAsia="仿宋" w:hAnsi="仿宋" w:hint="eastAsia"/>
                <w:sz w:val="24"/>
              </w:rPr>
              <w:t>会同</w:t>
            </w:r>
            <w:r>
              <w:rPr>
                <w:rFonts w:ascii="仿宋" w:eastAsia="仿宋" w:hAnsi="仿宋" w:hint="eastAsia"/>
                <w:sz w:val="24"/>
              </w:rPr>
              <w:t>局</w:t>
            </w:r>
            <w:proofErr w:type="gramEnd"/>
            <w:r>
              <w:rPr>
                <w:rFonts w:ascii="仿宋" w:eastAsia="仿宋" w:hAnsi="仿宋" w:hint="eastAsia"/>
                <w:sz w:val="24"/>
              </w:rPr>
              <w:t>执法大队</w:t>
            </w:r>
            <w:r>
              <w:rPr>
                <w:rFonts w:ascii="仿宋" w:eastAsia="仿宋" w:hAnsi="仿宋" w:hint="eastAsia"/>
                <w:sz w:val="24"/>
              </w:rPr>
              <w:t>和</w:t>
            </w:r>
            <w:r>
              <w:rPr>
                <w:rFonts w:ascii="仿宋" w:eastAsia="仿宋" w:hAnsi="仿宋" w:hint="eastAsia"/>
                <w:sz w:val="24"/>
              </w:rPr>
              <w:t>区文化旅游管理事务中心</w:t>
            </w:r>
            <w:r>
              <w:rPr>
                <w:rFonts w:ascii="仿宋" w:eastAsia="仿宋" w:hAnsi="仿宋" w:hint="eastAsia"/>
                <w:sz w:val="24"/>
              </w:rPr>
              <w:t>办理</w:t>
            </w:r>
            <w:r>
              <w:rPr>
                <w:rFonts w:ascii="仿宋" w:eastAsia="仿宋" w:hAnsi="仿宋" w:hint="eastAsia"/>
                <w:sz w:val="24"/>
              </w:rPr>
              <w:t>“</w:t>
            </w:r>
            <w:r>
              <w:rPr>
                <w:rFonts w:ascii="仿宋" w:eastAsia="仿宋" w:hAnsi="仿宋" w:hint="eastAsia"/>
                <w:sz w:val="24"/>
              </w:rPr>
              <w:t>12345</w:t>
            </w:r>
            <w:r>
              <w:rPr>
                <w:rFonts w:ascii="仿宋" w:eastAsia="仿宋" w:hAnsi="仿宋" w:hint="eastAsia"/>
                <w:sz w:val="24"/>
              </w:rPr>
              <w:t>”市民热</w:t>
            </w:r>
            <w:r>
              <w:rPr>
                <w:rFonts w:ascii="仿宋" w:eastAsia="仿宋" w:hAnsi="仿宋" w:hint="eastAsia"/>
                <w:sz w:val="24"/>
              </w:rPr>
              <w:t>线旅游投诉</w:t>
            </w:r>
            <w:r>
              <w:rPr>
                <w:rFonts w:ascii="仿宋" w:eastAsia="仿宋" w:hAnsi="仿宋" w:hint="eastAsia"/>
                <w:sz w:val="24"/>
                <w:lang w:eastAsia="zh-Hans"/>
              </w:rPr>
              <w:t>和</w:t>
            </w:r>
            <w:r>
              <w:rPr>
                <w:rFonts w:ascii="仿宋" w:eastAsia="仿宋" w:hAnsi="仿宋" w:hint="eastAsia"/>
                <w:sz w:val="24"/>
              </w:rPr>
              <w:t>“</w:t>
            </w:r>
            <w:r>
              <w:rPr>
                <w:rFonts w:ascii="仿宋" w:eastAsia="仿宋" w:hAnsi="仿宋" w:hint="eastAsia"/>
                <w:sz w:val="24"/>
              </w:rPr>
              <w:t>12301</w:t>
            </w:r>
            <w:r>
              <w:rPr>
                <w:rFonts w:ascii="仿宋" w:eastAsia="仿宋" w:hAnsi="仿宋" w:hint="eastAsia"/>
                <w:sz w:val="24"/>
              </w:rPr>
              <w:t>”等旅游投诉，向举报人和被举报人解释、宣传文化旅游法律法规。积极</w:t>
            </w:r>
            <w:r>
              <w:rPr>
                <w:rFonts w:ascii="仿宋" w:eastAsia="仿宋" w:hAnsi="仿宋" w:hint="eastAsia"/>
                <w:sz w:val="24"/>
              </w:rPr>
              <w:t>策划推动</w:t>
            </w:r>
            <w:r>
              <w:rPr>
                <w:rFonts w:ascii="仿宋" w:eastAsia="仿宋" w:hAnsi="仿宋" w:hint="eastAsia"/>
                <w:sz w:val="24"/>
              </w:rPr>
              <w:t>创作发布扫黑除恶专项斗争的社会动员艺术作品，</w:t>
            </w:r>
            <w:r>
              <w:rPr>
                <w:rFonts w:ascii="仿宋" w:eastAsia="仿宋" w:hAnsi="仿宋" w:hint="eastAsia"/>
                <w:sz w:val="24"/>
              </w:rPr>
              <w:t>先后推动创作</w:t>
            </w:r>
            <w:r>
              <w:rPr>
                <w:rFonts w:ascii="仿宋" w:eastAsia="仿宋" w:hAnsi="仿宋" w:hint="eastAsia"/>
                <w:sz w:val="24"/>
              </w:rPr>
              <w:t>主题歌曲《利剑雄风》、主题戏曲——</w:t>
            </w:r>
            <w:proofErr w:type="gramStart"/>
            <w:r>
              <w:rPr>
                <w:rFonts w:ascii="仿宋" w:eastAsia="仿宋" w:hAnsi="仿宋" w:hint="eastAsia"/>
                <w:sz w:val="24"/>
              </w:rPr>
              <w:t>京淮合演</w:t>
            </w:r>
            <w:proofErr w:type="gramEnd"/>
            <w:r>
              <w:rPr>
                <w:rFonts w:ascii="仿宋" w:eastAsia="仿宋" w:hAnsi="仿宋" w:hint="eastAsia"/>
                <w:sz w:val="24"/>
              </w:rPr>
              <w:t>剧目《新乌盆记》、主题短视频——手绘纸片动画《扫黑除恶，杨浦在行动》等，营造了扫黑恶、净环境、保稳定、促平安的良好氛围</w:t>
            </w:r>
            <w:r>
              <w:rPr>
                <w:rFonts w:ascii="仿宋" w:eastAsia="仿宋" w:hAnsi="仿宋" w:hint="eastAsia"/>
                <w:sz w:val="24"/>
              </w:rPr>
              <w:t>。充分利用</w:t>
            </w:r>
            <w:r>
              <w:rPr>
                <w:rFonts w:ascii="仿宋" w:eastAsia="仿宋" w:hAnsi="仿宋" w:hint="eastAsia"/>
                <w:sz w:val="24"/>
              </w:rPr>
              <w:t>国歌展示馆</w:t>
            </w:r>
            <w:r>
              <w:rPr>
                <w:rFonts w:ascii="仿宋" w:eastAsia="仿宋" w:hAnsi="仿宋" w:hint="eastAsia"/>
                <w:sz w:val="24"/>
              </w:rPr>
              <w:t>作为区域重要法宣阵地，</w:t>
            </w:r>
            <w:r>
              <w:rPr>
                <w:rFonts w:ascii="仿宋" w:eastAsia="仿宋" w:hAnsi="仿宋" w:hint="eastAsia"/>
                <w:sz w:val="24"/>
              </w:rPr>
              <w:t>积极开展国歌普法宣传系列活动，通过“国歌故事进课堂”、“国歌嘹亮”升旗仪式、“爱国歌·重国格”国歌法宣誓、签名墙等系列普法活动，以多种形式宣传《国歌法》法律知识。</w:t>
            </w:r>
          </w:p>
        </w:tc>
      </w:tr>
    </w:tbl>
    <w:p w:rsidR="00865F74" w:rsidRDefault="00865F74"/>
    <w:p w:rsidR="00865F74" w:rsidRDefault="00B548EC">
      <w:pPr>
        <w:spacing w:line="560" w:lineRule="exact"/>
        <w:ind w:firstLineChars="200" w:firstLine="64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“七五”普法</w:t>
      </w:r>
      <w:r>
        <w:rPr>
          <w:rFonts w:ascii="方正小标宋简体" w:eastAsia="方正小标宋简体" w:hAnsi="方正小标宋简体" w:cs="方正小标宋简体"/>
          <w:sz w:val="32"/>
          <w:szCs w:val="32"/>
        </w:rPr>
        <w:t>优秀个人推荐对象基本情况</w:t>
      </w:r>
    </w:p>
    <w:tbl>
      <w:tblPr>
        <w:tblStyle w:val="a7"/>
        <w:tblW w:w="0" w:type="auto"/>
        <w:tblLook w:val="04A0" w:firstRow="1" w:lastRow="0" w:firstColumn="1" w:lastColumn="0" w:noHBand="0" w:noVBand="1"/>
      </w:tblPr>
      <w:tblGrid>
        <w:gridCol w:w="613"/>
        <w:gridCol w:w="740"/>
        <w:gridCol w:w="739"/>
        <w:gridCol w:w="1240"/>
        <w:gridCol w:w="10840"/>
      </w:tblGrid>
      <w:tr w:rsidR="00865F74">
        <w:tc>
          <w:tcPr>
            <w:tcW w:w="613" w:type="dxa"/>
            <w:vAlign w:val="center"/>
          </w:tcPr>
          <w:p w:rsidR="00865F74" w:rsidRDefault="00B548EC">
            <w:pPr>
              <w:pStyle w:val="a0"/>
              <w:jc w:val="center"/>
              <w:rPr>
                <w:rFonts w:ascii="仿宋_GB2312" w:eastAsia="仿宋_GB2312" w:hAnsi="仿宋_GB2312" w:cs="仿宋_GB2312"/>
                <w:b/>
                <w:bCs/>
                <w:sz w:val="24"/>
              </w:rPr>
            </w:pPr>
            <w:r>
              <w:rPr>
                <w:rFonts w:ascii="仿宋_GB2312" w:eastAsia="仿宋_GB2312" w:hAnsi="仿宋_GB2312" w:cs="仿宋_GB2312"/>
                <w:b/>
                <w:bCs/>
                <w:sz w:val="24"/>
              </w:rPr>
              <w:t>序号</w:t>
            </w:r>
          </w:p>
        </w:tc>
        <w:tc>
          <w:tcPr>
            <w:tcW w:w="740" w:type="dxa"/>
            <w:vAlign w:val="center"/>
          </w:tcPr>
          <w:p w:rsidR="00865F74" w:rsidRDefault="00B548EC">
            <w:pPr>
              <w:pStyle w:val="a0"/>
              <w:jc w:val="center"/>
              <w:rPr>
                <w:rFonts w:ascii="仿宋_GB2312" w:eastAsia="仿宋_GB2312" w:hAnsi="仿宋_GB2312" w:cs="仿宋_GB2312"/>
                <w:b/>
                <w:bCs/>
                <w:sz w:val="24"/>
              </w:rPr>
            </w:pPr>
            <w:r>
              <w:rPr>
                <w:rFonts w:ascii="仿宋_GB2312" w:eastAsia="仿宋_GB2312" w:hAnsi="仿宋_GB2312" w:cs="仿宋_GB2312"/>
                <w:b/>
                <w:bCs/>
                <w:sz w:val="24"/>
              </w:rPr>
              <w:t>姓名</w:t>
            </w:r>
          </w:p>
        </w:tc>
        <w:tc>
          <w:tcPr>
            <w:tcW w:w="739" w:type="dxa"/>
            <w:vAlign w:val="center"/>
          </w:tcPr>
          <w:p w:rsidR="00865F74" w:rsidRDefault="00B548EC">
            <w:pPr>
              <w:pStyle w:val="a0"/>
              <w:jc w:val="center"/>
              <w:rPr>
                <w:rFonts w:ascii="仿宋_GB2312" w:eastAsia="仿宋_GB2312" w:hAnsi="仿宋_GB2312" w:cs="仿宋_GB2312"/>
                <w:b/>
                <w:bCs/>
                <w:sz w:val="24"/>
              </w:rPr>
            </w:pPr>
            <w:r>
              <w:rPr>
                <w:rFonts w:ascii="仿宋_GB2312" w:eastAsia="仿宋_GB2312" w:hAnsi="仿宋_GB2312" w:cs="仿宋_GB2312"/>
                <w:b/>
                <w:bCs/>
                <w:sz w:val="24"/>
              </w:rPr>
              <w:t>性别</w:t>
            </w:r>
          </w:p>
        </w:tc>
        <w:tc>
          <w:tcPr>
            <w:tcW w:w="1240" w:type="dxa"/>
            <w:vAlign w:val="center"/>
          </w:tcPr>
          <w:p w:rsidR="00865F74" w:rsidRDefault="00B548EC">
            <w:pPr>
              <w:pStyle w:val="a0"/>
              <w:jc w:val="center"/>
              <w:rPr>
                <w:rFonts w:ascii="仿宋_GB2312" w:eastAsia="仿宋_GB2312" w:hAnsi="仿宋_GB2312" w:cs="仿宋_GB2312"/>
                <w:b/>
                <w:bCs/>
                <w:sz w:val="24"/>
              </w:rPr>
            </w:pPr>
            <w:r>
              <w:rPr>
                <w:rFonts w:ascii="仿宋_GB2312" w:eastAsia="仿宋_GB2312" w:hAnsi="仿宋_GB2312" w:cs="仿宋_GB2312"/>
                <w:b/>
                <w:bCs/>
                <w:sz w:val="24"/>
              </w:rPr>
              <w:t>职务</w:t>
            </w:r>
          </w:p>
        </w:tc>
        <w:tc>
          <w:tcPr>
            <w:tcW w:w="10840" w:type="dxa"/>
            <w:vAlign w:val="center"/>
          </w:tcPr>
          <w:p w:rsidR="00865F74" w:rsidRDefault="00B548EC">
            <w:pPr>
              <w:pStyle w:val="a0"/>
              <w:jc w:val="center"/>
              <w:rPr>
                <w:rFonts w:ascii="仿宋_GB2312" w:eastAsia="仿宋_GB2312" w:hAnsi="仿宋_GB2312" w:cs="仿宋_GB2312"/>
                <w:b/>
                <w:bCs/>
                <w:sz w:val="24"/>
              </w:rPr>
            </w:pPr>
            <w:r>
              <w:rPr>
                <w:rFonts w:ascii="仿宋_GB2312" w:eastAsia="仿宋_GB2312" w:hAnsi="仿宋_GB2312" w:cs="仿宋_GB2312"/>
                <w:b/>
                <w:bCs/>
                <w:sz w:val="24"/>
              </w:rPr>
              <w:t>简要事迹</w:t>
            </w:r>
          </w:p>
        </w:tc>
      </w:tr>
      <w:tr w:rsidR="00865F74">
        <w:tc>
          <w:tcPr>
            <w:tcW w:w="613" w:type="dxa"/>
            <w:vAlign w:val="center"/>
          </w:tcPr>
          <w:p w:rsidR="00865F74" w:rsidRDefault="00B548EC">
            <w:pPr>
              <w:pStyle w:val="a0"/>
              <w:jc w:val="center"/>
            </w:pPr>
            <w:r>
              <w:t>3</w:t>
            </w:r>
          </w:p>
        </w:tc>
        <w:tc>
          <w:tcPr>
            <w:tcW w:w="740" w:type="dxa"/>
            <w:vAlign w:val="center"/>
          </w:tcPr>
          <w:p w:rsidR="00865F74" w:rsidRDefault="00B548EC">
            <w:pPr>
              <w:pStyle w:val="a0"/>
              <w:jc w:val="center"/>
            </w:pPr>
            <w:r>
              <w:rPr>
                <w:rFonts w:ascii="仿宋" w:eastAsia="仿宋" w:hAnsi="仿宋"/>
                <w:sz w:val="24"/>
              </w:rPr>
              <w:t>金军</w:t>
            </w:r>
          </w:p>
        </w:tc>
        <w:tc>
          <w:tcPr>
            <w:tcW w:w="739" w:type="dxa"/>
            <w:vAlign w:val="center"/>
          </w:tcPr>
          <w:p w:rsidR="00865F74" w:rsidRDefault="00B548EC">
            <w:pPr>
              <w:pStyle w:val="a0"/>
              <w:jc w:val="center"/>
              <w:rPr>
                <w:rFonts w:ascii="仿宋" w:eastAsia="仿宋" w:hAnsi="仿宋"/>
                <w:sz w:val="24"/>
              </w:rPr>
            </w:pPr>
            <w:r>
              <w:rPr>
                <w:rFonts w:ascii="仿宋" w:eastAsia="仿宋" w:hAnsi="仿宋"/>
                <w:sz w:val="24"/>
              </w:rPr>
              <w:t>男</w:t>
            </w:r>
          </w:p>
        </w:tc>
        <w:tc>
          <w:tcPr>
            <w:tcW w:w="1240" w:type="dxa"/>
            <w:vAlign w:val="center"/>
          </w:tcPr>
          <w:p w:rsidR="00865F74" w:rsidRDefault="00B548EC" w:rsidP="006235C5">
            <w:pPr>
              <w:pStyle w:val="a0"/>
              <w:jc w:val="center"/>
              <w:rPr>
                <w:rFonts w:ascii="仿宋" w:eastAsia="仿宋" w:hAnsi="仿宋"/>
                <w:sz w:val="24"/>
              </w:rPr>
            </w:pPr>
            <w:r>
              <w:rPr>
                <w:rFonts w:ascii="仿宋" w:eastAsia="仿宋" w:hAnsi="仿宋" w:hint="eastAsia"/>
                <w:sz w:val="24"/>
              </w:rPr>
              <w:t>上海市奉贤区文化和旅游局信息科技科</w:t>
            </w:r>
            <w:bookmarkStart w:id="0" w:name="_GoBack"/>
            <w:bookmarkEnd w:id="0"/>
            <w:r>
              <w:rPr>
                <w:rFonts w:ascii="仿宋" w:eastAsia="仿宋" w:hAnsi="仿宋" w:hint="eastAsia"/>
                <w:sz w:val="24"/>
              </w:rPr>
              <w:t>四级调研员</w:t>
            </w:r>
          </w:p>
        </w:tc>
        <w:tc>
          <w:tcPr>
            <w:tcW w:w="10840" w:type="dxa"/>
            <w:vAlign w:val="center"/>
          </w:tcPr>
          <w:p w:rsidR="00865F74" w:rsidRDefault="00B548EC">
            <w:pPr>
              <w:spacing w:line="360" w:lineRule="exact"/>
              <w:ind w:firstLineChars="200" w:firstLine="480"/>
              <w:rPr>
                <w:rFonts w:ascii="仿宋" w:eastAsia="仿宋" w:hAnsi="仿宋"/>
                <w:sz w:val="24"/>
              </w:rPr>
            </w:pPr>
            <w:r>
              <w:rPr>
                <w:rFonts w:ascii="仿宋" w:eastAsia="仿宋" w:hAnsi="仿宋" w:hint="eastAsia"/>
                <w:sz w:val="24"/>
              </w:rPr>
              <w:t>金军同志坚持以习近平新时代中国特色社会主义思想为指导，认真学习贯彻党的十九大精神，坚决维护习近平总书记党中央的核心、全党的核心地位，自觉在思想上政治上行动上同以习近平同志为核心的党中央保持高度一致，模范遵守宪法与法律法规。坚持“服务大局、注重实效”的工作思路，运用奉贤文化旅游</w:t>
            </w:r>
            <w:proofErr w:type="gramStart"/>
            <w:r>
              <w:rPr>
                <w:rFonts w:ascii="仿宋" w:eastAsia="仿宋" w:hAnsi="仿宋" w:hint="eastAsia"/>
                <w:sz w:val="24"/>
              </w:rPr>
              <w:t>微信公众号</w:t>
            </w:r>
            <w:proofErr w:type="gramEnd"/>
            <w:r>
              <w:rPr>
                <w:rFonts w:ascii="仿宋" w:eastAsia="仿宋" w:hAnsi="仿宋" w:hint="eastAsia"/>
                <w:sz w:val="24"/>
              </w:rPr>
              <w:t>、奉贤</w:t>
            </w:r>
            <w:proofErr w:type="gramStart"/>
            <w:r>
              <w:rPr>
                <w:rFonts w:ascii="仿宋" w:eastAsia="仿宋" w:hAnsi="仿宋" w:hint="eastAsia"/>
                <w:sz w:val="24"/>
              </w:rPr>
              <w:t>文旅报纸</w:t>
            </w:r>
            <w:proofErr w:type="gramEnd"/>
            <w:r>
              <w:rPr>
                <w:rFonts w:ascii="仿宋" w:eastAsia="仿宋" w:hAnsi="仿宋" w:hint="eastAsia"/>
                <w:sz w:val="24"/>
              </w:rPr>
              <w:t>等多种宣传渠道，通过制作普法教育</w:t>
            </w:r>
            <w:proofErr w:type="gramStart"/>
            <w:r>
              <w:rPr>
                <w:rFonts w:ascii="仿宋" w:eastAsia="仿宋" w:hAnsi="仿宋" w:hint="eastAsia"/>
                <w:sz w:val="24"/>
              </w:rPr>
              <w:t>微信推文</w:t>
            </w:r>
            <w:proofErr w:type="gramEnd"/>
            <w:r>
              <w:rPr>
                <w:rFonts w:ascii="仿宋" w:eastAsia="仿宋" w:hAnsi="仿宋" w:hint="eastAsia"/>
                <w:sz w:val="24"/>
              </w:rPr>
              <w:t>，编辑文化保护、非</w:t>
            </w:r>
            <w:proofErr w:type="gramStart"/>
            <w:r>
              <w:rPr>
                <w:rFonts w:ascii="仿宋" w:eastAsia="仿宋" w:hAnsi="仿宋" w:hint="eastAsia"/>
                <w:sz w:val="24"/>
              </w:rPr>
              <w:t>遗保护</w:t>
            </w:r>
            <w:proofErr w:type="gramEnd"/>
            <w:r>
              <w:rPr>
                <w:rFonts w:ascii="仿宋" w:eastAsia="仿宋" w:hAnsi="仿宋" w:hint="eastAsia"/>
                <w:sz w:val="24"/>
              </w:rPr>
              <w:t>报刊专栏等方式大力开展《中华人民共和国公共文化服务保障法》《中华人民共和国文物保护法》等</w:t>
            </w:r>
            <w:r>
              <w:rPr>
                <w:rFonts w:ascii="仿宋" w:eastAsia="仿宋" w:hAnsi="仿宋"/>
                <w:sz w:val="24"/>
              </w:rPr>
              <w:t>法律法规</w:t>
            </w:r>
            <w:r>
              <w:rPr>
                <w:rFonts w:ascii="仿宋" w:eastAsia="仿宋" w:hAnsi="仿宋" w:hint="eastAsia"/>
                <w:sz w:val="24"/>
              </w:rPr>
              <w:t>宣传贯彻工作。深入基层开展依法治理</w:t>
            </w:r>
            <w:r>
              <w:rPr>
                <w:rFonts w:ascii="仿宋" w:eastAsia="仿宋" w:hAnsi="仿宋"/>
                <w:sz w:val="24"/>
              </w:rPr>
              <w:t>，</w:t>
            </w:r>
            <w:r>
              <w:rPr>
                <w:rFonts w:ascii="仿宋" w:eastAsia="仿宋" w:hAnsi="仿宋" w:hint="eastAsia"/>
                <w:sz w:val="24"/>
              </w:rPr>
              <w:t>年内带头制定“卫</w:t>
            </w:r>
            <w:r>
              <w:rPr>
                <w:rFonts w:ascii="仿宋" w:eastAsia="仿宋" w:hAnsi="仿宋" w:hint="eastAsia"/>
                <w:sz w:val="24"/>
              </w:rPr>
              <w:t>星锅”专项整治工作方案，紧盯柔性执法，坚持“</w:t>
            </w:r>
            <w:proofErr w:type="gramStart"/>
            <w:r>
              <w:rPr>
                <w:rFonts w:ascii="仿宋" w:eastAsia="仿宋" w:hAnsi="仿宋" w:hint="eastAsia"/>
                <w:sz w:val="24"/>
              </w:rPr>
              <w:t>一</w:t>
            </w:r>
            <w:proofErr w:type="gramEnd"/>
            <w:r>
              <w:rPr>
                <w:rFonts w:ascii="仿宋" w:eastAsia="仿宋" w:hAnsi="仿宋" w:hint="eastAsia"/>
                <w:sz w:val="24"/>
              </w:rPr>
              <w:t>口头教育，二书面通知，三自拆帮拆，四联合执法”的步骤推动治理，普法和治理取得了显著成效。</w:t>
            </w:r>
          </w:p>
        </w:tc>
      </w:tr>
    </w:tbl>
    <w:p w:rsidR="00865F74" w:rsidRDefault="00865F74">
      <w:pPr>
        <w:pStyle w:val="a0"/>
      </w:pPr>
    </w:p>
    <w:sectPr w:rsidR="00865F74">
      <w:pgSz w:w="16838" w:h="11906" w:orient="landscape"/>
      <w:pgMar w:top="1800" w:right="1440" w:bottom="1800" w:left="144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8EC" w:rsidRDefault="00B548EC" w:rsidP="00FA4B36">
      <w:r>
        <w:separator/>
      </w:r>
    </w:p>
  </w:endnote>
  <w:endnote w:type="continuationSeparator" w:id="0">
    <w:p w:rsidR="00B548EC" w:rsidRDefault="00B548EC" w:rsidP="00FA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default"/>
    <w:sig w:usb0="00000000" w:usb1="00000000" w:usb2="00000000" w:usb3="00000000" w:csb0="00040001" w:csb1="00000000"/>
  </w:font>
  <w:font w:name="Noto Sans CJK SC Regular">
    <w:altName w:val="宋体"/>
    <w:charset w:val="86"/>
    <w:family w:val="auto"/>
    <w:pitch w:val="default"/>
    <w:sig w:usb0="00000000" w:usb1="00000000" w:usb2="00000016" w:usb3="00000000" w:csb0="602E0107"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8EC" w:rsidRDefault="00B548EC" w:rsidP="00FA4B36">
      <w:r>
        <w:separator/>
      </w:r>
    </w:p>
  </w:footnote>
  <w:footnote w:type="continuationSeparator" w:id="0">
    <w:p w:rsidR="00B548EC" w:rsidRDefault="00B548EC" w:rsidP="00FA4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
  <w:drawingGridVerticalSpacing w:val="1"/>
  <w:displayHorizontalDrawingGridEvery w:val="0"/>
  <w:displayVerticalDrawingGridEvery w:val="0"/>
  <w:doNotUseMarginsForDrawingGridOrigin/>
  <w:drawingGridHorizontalOrigin w:val="0"/>
  <w:drawingGridVerticalOrigin w:val="0"/>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F74"/>
    <w:rsid w:val="307F0202"/>
    <w:rsid w:val="73E52F47"/>
    <w:rsid w:val="C26FAB72"/>
    <w:rsid w:val="DFFA9796"/>
    <w:rsid w:val="FB6F927D"/>
    <w:rsid w:val="FF77B7FD"/>
    <w:rsid w:val="FF7A43CE"/>
    <w:rsid w:val="006235C5"/>
    <w:rsid w:val="00865F74"/>
    <w:rsid w:val="00B548EC"/>
    <w:rsid w:val="00FA4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qFormat="1"/>
    <w:lsdException w:name="List" w:qFormat="1"/>
    <w:lsdException w:name="Title" w:qFormat="1"/>
    <w:lsdException w:name="Default Paragraph Font"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uppressAutoHyphens/>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40" w:line="276" w:lineRule="auto"/>
    </w:pPr>
  </w:style>
  <w:style w:type="paragraph" w:styleId="a4">
    <w:name w:val="footer"/>
    <w:basedOn w:val="a"/>
    <w:qFormat/>
    <w:pPr>
      <w:tabs>
        <w:tab w:val="center" w:pos="4153"/>
        <w:tab w:val="right" w:pos="8306"/>
      </w:tabs>
      <w:snapToGrid w:val="0"/>
      <w:jc w:val="left"/>
    </w:pPr>
    <w:rPr>
      <w:sz w:val="18"/>
      <w:szCs w:val="18"/>
    </w:rPr>
  </w:style>
  <w:style w:type="paragraph" w:styleId="a5">
    <w:name w:val="caption"/>
    <w:basedOn w:val="a"/>
    <w:next w:val="a"/>
    <w:qFormat/>
    <w:pPr>
      <w:suppressLineNumbers/>
      <w:spacing w:before="120" w:after="120"/>
    </w:pPr>
    <w:rPr>
      <w:i/>
      <w:iCs/>
      <w:sz w:val="24"/>
    </w:rPr>
  </w:style>
  <w:style w:type="paragraph" w:styleId="a6">
    <w:name w:val="List"/>
    <w:basedOn w:val="a0"/>
    <w:qFormat/>
  </w:style>
  <w:style w:type="table" w:styleId="a7">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默认段落字体1"/>
    <w:qFormat/>
  </w:style>
  <w:style w:type="paragraph" w:customStyle="1" w:styleId="Heading">
    <w:name w:val="Heading"/>
    <w:basedOn w:val="a"/>
    <w:next w:val="a0"/>
    <w:qFormat/>
    <w:pPr>
      <w:keepNext/>
      <w:spacing w:before="240" w:after="120"/>
    </w:pPr>
    <w:rPr>
      <w:rFonts w:ascii="Liberation Sans" w:eastAsia="Noto Sans CJK SC Regular" w:hAnsi="Liberation Sans" w:cs="Noto Sans CJK SC Regular"/>
      <w:sz w:val="28"/>
      <w:szCs w:val="28"/>
    </w:rPr>
  </w:style>
  <w:style w:type="paragraph" w:customStyle="1" w:styleId="Index">
    <w:name w:val="Index"/>
    <w:basedOn w:val="a"/>
    <w:qFormat/>
    <w:pPr>
      <w:suppressLineNumbers/>
    </w:pPr>
  </w:style>
  <w:style w:type="paragraph" w:styleId="a8">
    <w:name w:val="header"/>
    <w:basedOn w:val="a"/>
    <w:link w:val="Char"/>
    <w:rsid w:val="00FA4B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8"/>
    <w:rsid w:val="00FA4B36"/>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qFormat="1"/>
    <w:lsdException w:name="List" w:qFormat="1"/>
    <w:lsdException w:name="Title" w:qFormat="1"/>
    <w:lsdException w:name="Default Paragraph Font"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uppressAutoHyphens/>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40" w:line="276" w:lineRule="auto"/>
    </w:pPr>
  </w:style>
  <w:style w:type="paragraph" w:styleId="a4">
    <w:name w:val="footer"/>
    <w:basedOn w:val="a"/>
    <w:qFormat/>
    <w:pPr>
      <w:tabs>
        <w:tab w:val="center" w:pos="4153"/>
        <w:tab w:val="right" w:pos="8306"/>
      </w:tabs>
      <w:snapToGrid w:val="0"/>
      <w:jc w:val="left"/>
    </w:pPr>
    <w:rPr>
      <w:sz w:val="18"/>
      <w:szCs w:val="18"/>
    </w:rPr>
  </w:style>
  <w:style w:type="paragraph" w:styleId="a5">
    <w:name w:val="caption"/>
    <w:basedOn w:val="a"/>
    <w:next w:val="a"/>
    <w:qFormat/>
    <w:pPr>
      <w:suppressLineNumbers/>
      <w:spacing w:before="120" w:after="120"/>
    </w:pPr>
    <w:rPr>
      <w:i/>
      <w:iCs/>
      <w:sz w:val="24"/>
    </w:rPr>
  </w:style>
  <w:style w:type="paragraph" w:styleId="a6">
    <w:name w:val="List"/>
    <w:basedOn w:val="a0"/>
    <w:qFormat/>
  </w:style>
  <w:style w:type="table" w:styleId="a7">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默认段落字体1"/>
    <w:qFormat/>
  </w:style>
  <w:style w:type="paragraph" w:customStyle="1" w:styleId="Heading">
    <w:name w:val="Heading"/>
    <w:basedOn w:val="a"/>
    <w:next w:val="a0"/>
    <w:qFormat/>
    <w:pPr>
      <w:keepNext/>
      <w:spacing w:before="240" w:after="120"/>
    </w:pPr>
    <w:rPr>
      <w:rFonts w:ascii="Liberation Sans" w:eastAsia="Noto Sans CJK SC Regular" w:hAnsi="Liberation Sans" w:cs="Noto Sans CJK SC Regular"/>
      <w:sz w:val="28"/>
      <w:szCs w:val="28"/>
    </w:rPr>
  </w:style>
  <w:style w:type="paragraph" w:customStyle="1" w:styleId="Index">
    <w:name w:val="Index"/>
    <w:basedOn w:val="a"/>
    <w:qFormat/>
    <w:pPr>
      <w:suppressLineNumbers/>
    </w:pPr>
  </w:style>
  <w:style w:type="paragraph" w:styleId="a8">
    <w:name w:val="header"/>
    <w:basedOn w:val="a"/>
    <w:link w:val="Char"/>
    <w:rsid w:val="00FA4B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8"/>
    <w:rsid w:val="00FA4B36"/>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302</Words>
  <Characters>1726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cp:lastModifiedBy>
  <cp:revision>3</cp:revision>
  <dcterms:created xsi:type="dcterms:W3CDTF">2022-01-13T08:17:00Z</dcterms:created>
  <dcterms:modified xsi:type="dcterms:W3CDTF">2022-01-13T08:24:00Z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8724903F8D9D4223A1C804806B5F044C</vt:lpwstr>
  </property>
</Properties>
</file>