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仿宋_GB2312" w:eastAsia="仿宋_GB2312"/>
          <w:bCs/>
          <w:sz w:val="32"/>
          <w:szCs w:val="32"/>
        </w:rPr>
      </w:pPr>
      <w:bookmarkStart w:id="0" w:name="_Hlk25861116"/>
      <w:r>
        <w:rPr>
          <w:rFonts w:hint="eastAsia" w:ascii="仿宋_GB2312" w:hAnsi="仿宋_GB2312" w:eastAsia="仿宋_GB2312"/>
          <w:bCs/>
          <w:sz w:val="32"/>
          <w:szCs w:val="32"/>
        </w:rPr>
        <w:t>附件</w:t>
      </w:r>
      <w:r>
        <w:rPr>
          <w:rFonts w:ascii="仿宋_GB2312" w:hAnsi="仿宋_GB2312" w:eastAsia="仿宋_GB2312"/>
          <w:bCs/>
          <w:sz w:val="32"/>
          <w:szCs w:val="32"/>
        </w:rPr>
        <w:t>2</w:t>
      </w:r>
      <w:r>
        <w:rPr>
          <w:rFonts w:hint="eastAsia" w:ascii="仿宋_GB2312" w:hAnsi="仿宋_GB2312" w:eastAsia="仿宋_GB2312"/>
          <w:bCs/>
          <w:sz w:val="32"/>
          <w:szCs w:val="32"/>
        </w:rPr>
        <w:t>：</w:t>
      </w: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700" w:lineRule="exact"/>
        <w:jc w:val="center"/>
        <w:rPr>
          <w:rFonts w:ascii="方正小标宋简体" w:hAnsi="宋体" w:eastAsia="方正小标宋简体"/>
          <w:bCs/>
          <w:sz w:val="48"/>
          <w:szCs w:val="48"/>
        </w:rPr>
      </w:pPr>
      <w:r>
        <w:rPr>
          <w:rFonts w:hint="eastAsia" w:ascii="方正小标宋简体" w:hAnsi="宋体" w:eastAsia="方正小标宋简体"/>
          <w:bCs/>
          <w:sz w:val="48"/>
          <w:szCs w:val="48"/>
        </w:rPr>
        <w:t>上海市非物质文化遗产代表性传承人</w:t>
      </w:r>
    </w:p>
    <w:p>
      <w:pPr>
        <w:spacing w:line="700" w:lineRule="exact"/>
        <w:jc w:val="center"/>
        <w:rPr>
          <w:rFonts w:ascii="方正小标宋简体" w:hAnsi="宋体" w:eastAsia="方正小标宋简体"/>
          <w:bCs/>
          <w:sz w:val="48"/>
          <w:szCs w:val="48"/>
        </w:rPr>
      </w:pPr>
      <w:r>
        <w:rPr>
          <w:rFonts w:hint="eastAsia" w:ascii="方正小标宋简体" w:hAnsi="宋体" w:eastAsia="方正小标宋简体"/>
          <w:bCs/>
          <w:sz w:val="48"/>
          <w:szCs w:val="48"/>
        </w:rPr>
        <w:t>传承活动评估指标</w:t>
      </w:r>
    </w:p>
    <w:p>
      <w:pPr>
        <w:spacing w:line="7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（试行）</w:t>
      </w:r>
    </w:p>
    <w:bookmarkEnd w:id="0"/>
    <w:p>
      <w:pPr>
        <w:spacing w:line="700" w:lineRule="exact"/>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宋体" w:hAnsi="宋体"/>
          <w:b/>
          <w:sz w:val="36"/>
          <w:szCs w:val="36"/>
        </w:rPr>
      </w:pPr>
    </w:p>
    <w:p>
      <w:pPr>
        <w:spacing w:line="360" w:lineRule="auto"/>
        <w:jc w:val="center"/>
        <w:rPr>
          <w:rFonts w:ascii="楷体" w:hAnsi="楷体" w:eastAsia="楷体"/>
          <w:bCs/>
          <w:sz w:val="32"/>
          <w:szCs w:val="32"/>
        </w:rPr>
      </w:pPr>
      <w:r>
        <w:rPr>
          <w:rFonts w:hint="eastAsia" w:ascii="楷体" w:hAnsi="楷体" w:eastAsia="楷体"/>
          <w:bCs/>
          <w:sz w:val="32"/>
          <w:szCs w:val="32"/>
        </w:rPr>
        <w:t>上海市文化和旅游局</w:t>
      </w:r>
    </w:p>
    <w:p>
      <w:pPr>
        <w:spacing w:line="360" w:lineRule="auto"/>
        <w:jc w:val="center"/>
        <w:rPr>
          <w:rFonts w:ascii="楷体" w:hAnsi="楷体" w:eastAsia="楷体"/>
          <w:bCs/>
          <w:sz w:val="32"/>
          <w:szCs w:val="32"/>
        </w:rPr>
      </w:pPr>
      <w:r>
        <w:rPr>
          <w:rFonts w:hint="eastAsia" w:ascii="楷体" w:hAnsi="楷体" w:eastAsia="楷体"/>
          <w:bCs/>
          <w:sz w:val="32"/>
          <w:szCs w:val="32"/>
        </w:rPr>
        <w:t>2</w:t>
      </w:r>
      <w:r>
        <w:rPr>
          <w:rFonts w:ascii="楷体" w:hAnsi="楷体" w:eastAsia="楷体"/>
          <w:bCs/>
          <w:sz w:val="32"/>
          <w:szCs w:val="32"/>
        </w:rPr>
        <w:t>021</w:t>
      </w:r>
      <w:r>
        <w:rPr>
          <w:rFonts w:hint="eastAsia" w:ascii="楷体" w:hAnsi="楷体" w:eastAsia="楷体"/>
          <w:bCs/>
          <w:sz w:val="32"/>
          <w:szCs w:val="32"/>
        </w:rPr>
        <w:t>年</w:t>
      </w:r>
      <w:r>
        <w:rPr>
          <w:rFonts w:ascii="楷体" w:hAnsi="楷体" w:eastAsia="楷体"/>
          <w:bCs/>
          <w:sz w:val="32"/>
          <w:szCs w:val="32"/>
        </w:rPr>
        <w:t>7</w:t>
      </w:r>
      <w:r>
        <w:rPr>
          <w:rFonts w:hint="eastAsia" w:ascii="楷体" w:hAnsi="楷体" w:eastAsia="楷体"/>
          <w:bCs/>
          <w:sz w:val="32"/>
          <w:szCs w:val="32"/>
        </w:rPr>
        <w:t>月</w:t>
      </w:r>
    </w:p>
    <w:p>
      <w:pPr>
        <w:rPr>
          <w:rFonts w:ascii="黑体" w:hAnsi="黑体" w:eastAsia="黑体"/>
          <w:bCs/>
          <w:sz w:val="24"/>
        </w:rPr>
      </w:pPr>
    </w:p>
    <w:p>
      <w:pPr>
        <w:pStyle w:val="2"/>
        <w:rPr>
          <w:rFonts w:ascii="黑体" w:hAnsi="黑体"/>
          <w:b w:val="0"/>
          <w:szCs w:val="32"/>
        </w:rPr>
      </w:pPr>
      <w:r>
        <w:rPr>
          <w:rFonts w:ascii="黑体" w:hAnsi="黑体"/>
          <w:sz w:val="24"/>
        </w:rPr>
        <w:br w:type="page"/>
      </w:r>
      <w:bookmarkStart w:id="1" w:name="_Toc45138819"/>
      <w:r>
        <w:rPr>
          <w:rFonts w:hint="eastAsia" w:ascii="黑体" w:hAnsi="黑体"/>
          <w:b w:val="0"/>
          <w:szCs w:val="32"/>
        </w:rPr>
        <w:t>指标说明</w:t>
      </w:r>
    </w:p>
    <w:p>
      <w:pPr>
        <w:spacing w:line="360" w:lineRule="auto"/>
        <w:jc w:val="center"/>
        <w:rPr>
          <w:rFonts w:ascii="仿宋_GB2312" w:hAnsi="仿宋_GB2312" w:eastAsia="仿宋_GB2312"/>
          <w:b/>
          <w:sz w:val="30"/>
          <w:szCs w:val="30"/>
        </w:rPr>
      </w:pP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一、根据《上海市非物质文化遗产保护条例》有关规定，制订本指标。</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二、本指标用于文化和旅游部、上海市文化和旅游局认定的</w:t>
      </w:r>
      <w:bookmarkStart w:id="3" w:name="_GoBack"/>
      <w:bookmarkEnd w:id="3"/>
      <w:r>
        <w:rPr>
          <w:rFonts w:hint="eastAsia" w:ascii="仿宋_GB2312" w:hAnsi="仿宋_GB2312" w:eastAsia="仿宋_GB2312"/>
          <w:sz w:val="30"/>
          <w:szCs w:val="30"/>
        </w:rPr>
        <w:t>市级非物质文化遗产代表性传承人传承活动的评估。</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三、指标分值由基本分项（100分）和附加分项（30分）构成。基本分项包括基本情况、传承实践、资料建设和宣传交流；附加分项根据评估实施期间非物质文化遗产保护工作总体导向和重点任务确定，包括奖励表彰、特色亮点、媒体传播等。</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四、各项指标中，完全达标的得满分；部分达标、基本达标或不达标的酌情减分，最小评分单位为1分。</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五、根据评分情况，传承人的</w:t>
      </w:r>
      <w:r>
        <w:rPr>
          <w:rFonts w:ascii="仿宋_GB2312" w:hAnsi="仿宋_GB2312" w:eastAsia="仿宋_GB2312"/>
          <w:sz w:val="30"/>
          <w:szCs w:val="30"/>
        </w:rPr>
        <w:t>评估结果分为优秀、合格、不合格三个等次</w:t>
      </w:r>
      <w:r>
        <w:rPr>
          <w:rFonts w:hint="eastAsia" w:ascii="仿宋_GB2312" w:hAnsi="仿宋_GB2312" w:eastAsia="仿宋_GB2312"/>
          <w:sz w:val="30"/>
          <w:szCs w:val="30"/>
        </w:rPr>
        <w:t>。经评估，</w:t>
      </w:r>
      <w:r>
        <w:rPr>
          <w:rFonts w:ascii="仿宋_GB2312" w:hAnsi="仿宋_GB2312" w:eastAsia="仿宋_GB2312"/>
          <w:sz w:val="30"/>
          <w:szCs w:val="30"/>
        </w:rPr>
        <w:t>发现传承人有以下情况之一的，评估结果等次</w:t>
      </w:r>
      <w:r>
        <w:rPr>
          <w:rFonts w:hint="eastAsia" w:ascii="仿宋_GB2312" w:hAnsi="仿宋_GB2312" w:eastAsia="仿宋_GB2312"/>
          <w:sz w:val="30"/>
          <w:szCs w:val="30"/>
        </w:rPr>
        <w:t>应</w:t>
      </w:r>
      <w:r>
        <w:rPr>
          <w:rFonts w:ascii="仿宋_GB2312" w:hAnsi="仿宋_GB2312" w:eastAsia="仿宋_GB2312"/>
          <w:sz w:val="30"/>
          <w:szCs w:val="30"/>
        </w:rPr>
        <w:t>确定为不合格：</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（一）无正当理由连续三年以上未开展市级代表性项目传承实践活动的；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（二）拒不配合相关政府部门进行非物质文化遗产调查、记录等工作的；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（三）无正当理由不参与非物质文化遗产公益性宣传的；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（四）在非物质文化遗产相关活动中，本人有虚假宣传、以歪曲贬损等方式使用非物质文化遗产、销售假冒伪劣产品、侵犯他人合法权益等违法行为，对该市级代表性项目造成严重不良社会影响的；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（五）无正当理由不参加评估，或者在评估工作中弄虚作假的；</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（六）其他无正当理由拒不履行市级代表性传承人义务的情形。</w:t>
      </w:r>
    </w:p>
    <w:p>
      <w:pPr>
        <w:ind w:firstLine="600" w:firstLineChars="200"/>
        <w:rPr>
          <w:rFonts w:ascii="仿宋_GB2312" w:hAnsi="仿宋_GB2312" w:eastAsia="仿宋_GB2312"/>
          <w:sz w:val="30"/>
          <w:szCs w:val="30"/>
        </w:rPr>
      </w:pPr>
      <w:r>
        <w:rPr>
          <w:rFonts w:hint="eastAsia" w:ascii="仿宋_GB2312" w:hAnsi="仿宋_GB2312" w:eastAsia="仿宋_GB2312"/>
          <w:sz w:val="30"/>
          <w:szCs w:val="30"/>
        </w:rPr>
        <w:t>六、本指标内容由上海市文化和旅游局负责解释。</w:t>
      </w: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ind w:firstLine="600" w:firstLineChars="200"/>
        <w:rPr>
          <w:rFonts w:ascii="仿宋_GB2312" w:hAnsi="仿宋_GB2312" w:eastAsia="仿宋_GB2312"/>
          <w:sz w:val="30"/>
          <w:szCs w:val="30"/>
        </w:rPr>
      </w:pPr>
    </w:p>
    <w:p>
      <w:pPr>
        <w:rPr>
          <w:rFonts w:ascii="仿宋_GB2312" w:hAnsi="仿宋_GB2312" w:eastAsia="仿宋_GB2312"/>
          <w:sz w:val="30"/>
          <w:szCs w:val="30"/>
        </w:rPr>
      </w:pPr>
      <w:r>
        <w:rPr>
          <w:rFonts w:ascii="仿宋_GB2312" w:hAnsi="仿宋_GB2312" w:eastAsia="仿宋_GB2312"/>
          <w:sz w:val="30"/>
          <w:szCs w:val="30"/>
        </w:rPr>
        <w:br w:type="page"/>
      </w:r>
    </w:p>
    <w:bookmarkEnd w:id="1"/>
    <w:tbl>
      <w:tblPr>
        <w:tblStyle w:val="11"/>
        <w:tblW w:w="92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7"/>
        <w:gridCol w:w="1984"/>
        <w:gridCol w:w="5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一级指标</w:t>
            </w:r>
          </w:p>
        </w:tc>
        <w:tc>
          <w:tcPr>
            <w:tcW w:w="1984" w:type="dxa"/>
            <w:vAlign w:val="center"/>
          </w:tcPr>
          <w:p>
            <w:pPr>
              <w:spacing w:line="280" w:lineRule="exact"/>
              <w:jc w:val="center"/>
              <w:rPr>
                <w:rFonts w:ascii="宋体" w:hAnsi="宋体" w:eastAsia="宋体" w:cs="Times New Roman"/>
                <w:b/>
                <w:bCs/>
                <w:szCs w:val="21"/>
              </w:rPr>
            </w:pPr>
            <w:r>
              <w:rPr>
                <w:rFonts w:hint="eastAsia" w:ascii="宋体" w:hAnsi="宋体" w:eastAsia="宋体" w:cs="Times New Roman"/>
                <w:b/>
                <w:szCs w:val="21"/>
              </w:rPr>
              <w:t>二级指标</w:t>
            </w:r>
          </w:p>
        </w:tc>
        <w:tc>
          <w:tcPr>
            <w:tcW w:w="5820" w:type="dxa"/>
            <w:vAlign w:val="center"/>
          </w:tcPr>
          <w:p>
            <w:pPr>
              <w:spacing w:line="280" w:lineRule="exact"/>
              <w:jc w:val="center"/>
              <w:rPr>
                <w:rFonts w:ascii="宋体" w:hAnsi="宋体" w:eastAsia="宋体" w:cs="Times New Roman"/>
                <w:szCs w:val="21"/>
              </w:rPr>
            </w:pPr>
            <w:r>
              <w:rPr>
                <w:rFonts w:hint="eastAsia" w:ascii="宋体" w:hAnsi="宋体" w:eastAsia="宋体" w:cs="Times New Roman"/>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restart"/>
            <w:vAlign w:val="center"/>
          </w:tcPr>
          <w:p>
            <w:pPr>
              <w:spacing w:line="280" w:lineRule="exact"/>
              <w:jc w:val="center"/>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基本情况</w:t>
            </w:r>
          </w:p>
          <w:p>
            <w:pPr>
              <w:spacing w:line="280" w:lineRule="exact"/>
              <w:jc w:val="center"/>
              <w:rPr>
                <w:rFonts w:ascii="宋体" w:hAnsi="宋体" w:eastAsia="宋体" w:cs="Times New Roman"/>
                <w:b/>
                <w:szCs w:val="21"/>
              </w:rPr>
            </w:pPr>
            <w:r>
              <w:rPr>
                <w:rFonts w:hint="eastAsia" w:ascii="宋体" w:hAnsi="宋体" w:eastAsia="宋体" w:cs="Times New Roman"/>
                <w:b/>
                <w:bCs/>
                <w:color w:val="000000" w:themeColor="text1"/>
                <w:szCs w:val="21"/>
                <w14:textFill>
                  <w14:solidFill>
                    <w14:schemeClr w14:val="tx1"/>
                  </w14:solidFill>
                </w14:textFill>
              </w:rPr>
              <w:t>（10分）</w:t>
            </w: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遵纪守法情况</w:t>
            </w:r>
          </w:p>
          <w:p>
            <w:pPr>
              <w:spacing w:line="280" w:lineRule="exact"/>
              <w:jc w:val="center"/>
              <w:rPr>
                <w:rFonts w:ascii="宋体" w:hAnsi="宋体" w:eastAsia="宋体" w:cs="Times New Roman"/>
                <w:b/>
                <w:szCs w:val="21"/>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2</w:t>
            </w:r>
            <w:r>
              <w:rPr>
                <w:rFonts w:hint="eastAsia" w:ascii="宋体" w:hAnsi="宋体" w:eastAsia="宋体" w:cs="Times New Roman"/>
                <w:b/>
                <w:color w:val="000000" w:themeColor="text1"/>
                <w:szCs w:val="21"/>
                <w14:textFill>
                  <w14:solidFill>
                    <w14:schemeClr w14:val="tx1"/>
                  </w14:solidFill>
                </w14:textFill>
              </w:rPr>
              <w:t>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遵纪守法，爱国敬业，德艺双馨，无违反国家法律法规和违纪行为（2分）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基本履职情况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6</w:t>
            </w:r>
            <w:r>
              <w:rPr>
                <w:rFonts w:hint="eastAsia" w:ascii="宋体" w:hAnsi="宋体" w:eastAsia="宋体" w:cs="Times New Roman"/>
                <w:b/>
                <w:color w:val="000000" w:themeColor="text1"/>
                <w:szCs w:val="21"/>
                <w14:textFill>
                  <w14:solidFill>
                    <w14:schemeClr w14:val="tx1"/>
                  </w14:solidFill>
                </w14:textFill>
              </w:rPr>
              <w:t>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rPr>
              <w:t>有个人传承工作计划及总结报告。（2分）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continue"/>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bCs/>
                <w:szCs w:val="21"/>
              </w:rPr>
              <w:t>积极在项目所在地开展传承。（2分）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continue"/>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3</w:t>
            </w:r>
            <w:r>
              <w:rPr>
                <w:rFonts w:ascii="宋体" w:hAnsi="宋体" w:eastAsia="宋体" w:cs="Times New Roman"/>
                <w:bCs/>
                <w:szCs w:val="21"/>
              </w:rPr>
              <w:t>.</w:t>
            </w:r>
            <w:r>
              <w:rPr>
                <w:rFonts w:hint="eastAsia" w:ascii="宋体" w:hAnsi="宋体" w:eastAsia="宋体" w:cs="Times New Roman"/>
                <w:bCs/>
                <w:szCs w:val="21"/>
              </w:rPr>
              <w:t>积极配合项目保护单位及主管部门开展工作。（2分）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补助经费使用情况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规范合理使用非遗专项补助经费。（2分）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传承实践</w:t>
            </w:r>
          </w:p>
          <w:p>
            <w:pPr>
              <w:spacing w:line="280" w:lineRule="exact"/>
              <w:jc w:val="center"/>
              <w:rPr>
                <w:rFonts w:ascii="宋体" w:hAnsi="宋体" w:eastAsia="宋体" w:cs="Times New Roman"/>
                <w:b/>
                <w:szCs w:val="21"/>
              </w:rPr>
            </w:pPr>
            <w:r>
              <w:rPr>
                <w:rFonts w:hint="eastAsia" w:ascii="宋体" w:hAnsi="宋体" w:eastAsia="宋体" w:cs="Times New Roman"/>
                <w:b/>
                <w:bCs/>
                <w:color w:val="000000" w:themeColor="text1"/>
                <w:szCs w:val="21"/>
                <w14:textFill>
                  <w14:solidFill>
                    <w14:schemeClr w14:val="tx1"/>
                  </w14:solidFill>
                </w14:textFill>
              </w:rPr>
              <w:t>（60分）</w:t>
            </w:r>
          </w:p>
        </w:tc>
        <w:tc>
          <w:tcPr>
            <w:tcW w:w="1984"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授徒情况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（20分）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rPr>
              <w:t>积极开展授徒，每周为徒弟授课。（10分）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continue"/>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bCs/>
                <w:szCs w:val="21"/>
              </w:rPr>
              <w:t>徒弟掌握核心技艺或核心知识，获得相关荣誉情况。（10分）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传艺情况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（20分）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rPr>
              <w:t>积极参加非遗进校园等普及教育活动，推动非遗项目得到认同尊重和弘扬发展。（10分）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continue"/>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p>
        </w:tc>
        <w:tc>
          <w:tcPr>
            <w:tcW w:w="5820" w:type="dxa"/>
            <w:vAlign w:val="center"/>
          </w:tcPr>
          <w:p>
            <w:pPr>
              <w:spacing w:line="300" w:lineRule="exact"/>
              <w:rPr>
                <w:rFonts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.积极参加非遗进社区</w:t>
            </w:r>
            <w:r>
              <w:rPr>
                <w:rFonts w:ascii="宋体" w:hAnsi="宋体" w:eastAsia="宋体" w:cs="Times New Roman"/>
                <w:bCs/>
                <w:szCs w:val="21"/>
              </w:rPr>
              <w:footnoteReference w:id="0"/>
            </w:r>
            <w:r>
              <w:rPr>
                <w:rFonts w:hint="eastAsia" w:ascii="宋体" w:hAnsi="宋体" w:eastAsia="宋体" w:cs="Times New Roman"/>
                <w:bCs/>
                <w:szCs w:val="21"/>
              </w:rPr>
              <w:t>等传习普及推广活动。（10分）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项目实践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（20分）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.根据</w:t>
            </w:r>
            <w:r>
              <w:rPr>
                <w:rFonts w:hint="eastAsia" w:ascii="宋体" w:hAnsi="宋体" w:eastAsia="宋体" w:cs="Times New Roman"/>
                <w:bCs/>
                <w:szCs w:val="21"/>
              </w:rPr>
              <w:t>传承人</w:t>
            </w:r>
            <w:r>
              <w:rPr>
                <w:rFonts w:ascii="宋体" w:hAnsi="宋体" w:eastAsia="宋体" w:cs="Times New Roman"/>
                <w:bCs/>
                <w:szCs w:val="21"/>
              </w:rPr>
              <w:t>掌握的非遗门类特征和项目核心技艺，积极开展项目生产、表演、创作、诊疗等实践活动，实践活动的产出成果符合该项目领域保护传承实践的基本标准。</w:t>
            </w:r>
            <w:r>
              <w:rPr>
                <w:rFonts w:hint="eastAsia" w:ascii="宋体" w:hAnsi="宋体" w:eastAsia="宋体" w:cs="Times New Roman"/>
                <w:bCs/>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continue"/>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bCs/>
                <w:szCs w:val="21"/>
              </w:rPr>
              <w:t>在各社区和群体适应周围环境，以及在与自然和历史的互动中，被不断的再创造，为这些社区和群体提供认同感和持续感，从而增强对文化多样性和人类创造力的尊重。（10分）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资料建设</w:t>
            </w:r>
          </w:p>
          <w:p>
            <w:pPr>
              <w:spacing w:line="280" w:lineRule="exact"/>
              <w:jc w:val="center"/>
              <w:rPr>
                <w:rFonts w:ascii="宋体" w:hAnsi="宋体" w:eastAsia="宋体" w:cs="Times New Roman"/>
                <w:b/>
                <w:szCs w:val="21"/>
              </w:rPr>
            </w:pPr>
            <w:r>
              <w:rPr>
                <w:rFonts w:hint="eastAsia" w:ascii="宋体" w:hAnsi="宋体" w:eastAsia="宋体" w:cs="Times New Roman"/>
                <w:b/>
                <w:color w:val="000000" w:themeColor="text1"/>
                <w:szCs w:val="21"/>
                <w14:textFill>
                  <w14:solidFill>
                    <w14:schemeClr w14:val="tx1"/>
                  </w14:solidFill>
                </w14:textFill>
              </w:rPr>
              <w:t>（20分）</w:t>
            </w:r>
          </w:p>
        </w:tc>
        <w:tc>
          <w:tcPr>
            <w:tcW w:w="1984"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按规定要求收集、保存资料情况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1</w:t>
            </w:r>
            <w:r>
              <w:rPr>
                <w:rFonts w:ascii="宋体" w:hAnsi="宋体" w:eastAsia="宋体" w:cs="Times New Roman"/>
                <w:bCs/>
                <w:szCs w:val="21"/>
              </w:rPr>
              <w:t>.</w:t>
            </w:r>
            <w:r>
              <w:rPr>
                <w:rFonts w:hint="eastAsia" w:ascii="宋体" w:hAnsi="宋体" w:eastAsia="宋体" w:cs="Times New Roman"/>
                <w:bCs/>
                <w:szCs w:val="21"/>
              </w:rPr>
              <w:t>按规定要求收集、保存与项目有关的图文资料，实物及相关场所，保存完整清晰。（5分）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Merge w:val="continue"/>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p>
        </w:tc>
        <w:tc>
          <w:tcPr>
            <w:tcW w:w="5820" w:type="dxa"/>
            <w:vAlign w:val="center"/>
          </w:tcPr>
          <w:p>
            <w:pPr>
              <w:spacing w:line="300" w:lineRule="exact"/>
              <w:rPr>
                <w:rFonts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.按要求收集、保存与项目有关的影像资料，影像清晰丰富。（5分）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配合开展调查传承人记录情况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（5分）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积极配合开展非遗调查和传承人记录。（5分）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自行或参与开展资料整理和研究情况（5分）</w:t>
            </w:r>
          </w:p>
        </w:tc>
        <w:tc>
          <w:tcPr>
            <w:tcW w:w="5820" w:type="dxa"/>
            <w:vAlign w:val="center"/>
          </w:tcPr>
          <w:p>
            <w:pPr>
              <w:spacing w:line="300" w:lineRule="exact"/>
              <w:rPr>
                <w:rFonts w:ascii="宋体" w:hAnsi="宋体" w:eastAsia="宋体" w:cs="Times New Roman"/>
                <w:bCs/>
                <w:szCs w:val="21"/>
              </w:rPr>
            </w:pPr>
            <w:r>
              <w:rPr>
                <w:rFonts w:hint="eastAsia" w:ascii="宋体" w:hAnsi="宋体" w:eastAsia="宋体" w:cs="Times New Roman"/>
                <w:bCs/>
                <w:szCs w:val="21"/>
              </w:rPr>
              <w:t>积极参与整理和研究与项目有关的图文、实物、影像等，资料完整有序，形成系统。（5分）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restart"/>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宣传交流</w:t>
            </w:r>
          </w:p>
          <w:p>
            <w:pPr>
              <w:spacing w:line="280" w:lineRule="exact"/>
              <w:jc w:val="center"/>
              <w:rPr>
                <w:rFonts w:ascii="宋体" w:hAnsi="宋体" w:eastAsia="宋体" w:cs="Times New Roman"/>
                <w:b/>
                <w:szCs w:val="21"/>
              </w:rPr>
            </w:pPr>
            <w:r>
              <w:rPr>
                <w:rFonts w:hint="eastAsia" w:ascii="宋体" w:hAnsi="宋体" w:eastAsia="宋体" w:cs="Times New Roman"/>
                <w:b/>
                <w:color w:val="000000" w:themeColor="text1"/>
                <w:szCs w:val="21"/>
                <w14:textFill>
                  <w14:solidFill>
                    <w14:schemeClr w14:val="tx1"/>
                  </w14:solidFill>
                </w14:textFill>
              </w:rPr>
              <w:t>（</w:t>
            </w:r>
            <w:r>
              <w:rPr>
                <w:rFonts w:ascii="宋体" w:hAnsi="宋体" w:eastAsia="宋体" w:cs="Times New Roman"/>
                <w:b/>
                <w:color w:val="000000" w:themeColor="text1"/>
                <w:szCs w:val="21"/>
                <w14:textFill>
                  <w14:solidFill>
                    <w14:schemeClr w14:val="tx1"/>
                  </w14:solidFill>
                </w14:textFill>
              </w:rPr>
              <w:t>10</w:t>
            </w:r>
            <w:r>
              <w:rPr>
                <w:rFonts w:hint="eastAsia" w:ascii="宋体" w:hAnsi="宋体" w:eastAsia="宋体" w:cs="Times New Roman"/>
                <w:b/>
                <w:color w:val="000000" w:themeColor="text1"/>
                <w:szCs w:val="21"/>
                <w14:textFill>
                  <w14:solidFill>
                    <w14:schemeClr w14:val="tx1"/>
                  </w14:solidFill>
                </w14:textFill>
              </w:rPr>
              <w:t>分）</w:t>
            </w: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展示交流情况</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（6分）</w:t>
            </w:r>
          </w:p>
        </w:tc>
        <w:tc>
          <w:tcPr>
            <w:tcW w:w="5820" w:type="dxa"/>
            <w:vAlign w:val="center"/>
          </w:tcPr>
          <w:p>
            <w:pPr>
              <w:pStyle w:val="22"/>
              <w:spacing w:line="300" w:lineRule="exact"/>
              <w:rPr>
                <w:rFonts w:hAnsi="宋体" w:cs="Times New Roman"/>
                <w:bCs/>
                <w:color w:val="auto"/>
                <w:kern w:val="2"/>
                <w:sz w:val="21"/>
                <w:szCs w:val="21"/>
              </w:rPr>
            </w:pPr>
            <w:r>
              <w:rPr>
                <w:rFonts w:hint="eastAsia" w:hAnsi="宋体" w:cs="Times New Roman"/>
                <w:bCs/>
                <w:color w:val="auto"/>
                <w:kern w:val="2"/>
                <w:sz w:val="21"/>
                <w:szCs w:val="21"/>
              </w:rPr>
              <w:t>1</w:t>
            </w:r>
            <w:r>
              <w:rPr>
                <w:rFonts w:hAnsi="宋体" w:cs="Times New Roman"/>
                <w:bCs/>
                <w:color w:val="auto"/>
                <w:kern w:val="2"/>
                <w:sz w:val="21"/>
                <w:szCs w:val="21"/>
              </w:rPr>
              <w:t>.</w:t>
            </w:r>
            <w:r>
              <w:rPr>
                <w:rFonts w:hint="eastAsia" w:hAnsi="宋体" w:cs="Times New Roman"/>
                <w:bCs/>
                <w:color w:val="auto"/>
                <w:kern w:val="2"/>
                <w:sz w:val="21"/>
                <w:szCs w:val="21"/>
              </w:rPr>
              <w:t>积极参加对外、对港澳台地区的重大展览展会、文化交流或展演活动；或参加国家级、业界公认的重大展览展会、</w:t>
            </w:r>
            <w:r>
              <w:rPr>
                <w:rFonts w:hAnsi="宋体" w:cs="Times New Roman"/>
                <w:bCs/>
                <w:color w:val="auto"/>
                <w:kern w:val="2"/>
                <w:sz w:val="21"/>
                <w:szCs w:val="21"/>
              </w:rPr>
              <w:t>文化</w:t>
            </w:r>
            <w:r>
              <w:rPr>
                <w:rFonts w:hint="eastAsia" w:hAnsi="宋体" w:cs="Times New Roman"/>
                <w:bCs/>
                <w:color w:val="auto"/>
                <w:kern w:val="2"/>
                <w:sz w:val="21"/>
                <w:szCs w:val="21"/>
              </w:rPr>
              <w:t>交流或展演活动。（4分）</w:t>
            </w:r>
          </w:p>
          <w:p>
            <w:pPr>
              <w:spacing w:line="300" w:lineRule="exact"/>
              <w:rPr>
                <w:rFonts w:ascii="宋体" w:hAnsi="宋体" w:eastAsia="宋体" w:cs="Times New Roman"/>
                <w:bCs/>
                <w:szCs w:val="21"/>
              </w:rPr>
            </w:pPr>
            <w:r>
              <w:rPr>
                <w:rFonts w:ascii="宋体" w:hAnsi="宋体" w:eastAsia="宋体" w:cs="Times New Roman"/>
                <w:bCs/>
                <w:szCs w:val="21"/>
              </w:rPr>
              <w:t>2.</w:t>
            </w:r>
            <w:r>
              <w:rPr>
                <w:rFonts w:hint="eastAsia" w:ascii="宋体" w:hAnsi="宋体" w:eastAsia="宋体" w:cs="Times New Roman"/>
                <w:bCs/>
                <w:szCs w:val="21"/>
              </w:rPr>
              <w:t>积极</w:t>
            </w:r>
            <w:r>
              <w:rPr>
                <w:rFonts w:ascii="宋体" w:hAnsi="宋体" w:eastAsia="宋体" w:cs="Times New Roman"/>
                <w:bCs/>
                <w:szCs w:val="21"/>
              </w:rPr>
              <w:t>参加上海市级</w:t>
            </w:r>
            <w:r>
              <w:rPr>
                <w:rFonts w:hint="eastAsia" w:ascii="宋体" w:hAnsi="宋体" w:eastAsia="宋体" w:cs="Times New Roman"/>
                <w:bCs/>
                <w:szCs w:val="21"/>
              </w:rPr>
              <w:t>、区级</w:t>
            </w:r>
            <w:r>
              <w:rPr>
                <w:rFonts w:ascii="宋体" w:hAnsi="宋体" w:eastAsia="宋体" w:cs="Times New Roman"/>
                <w:bCs/>
                <w:szCs w:val="21"/>
              </w:rPr>
              <w:t>展览展示、文化</w:t>
            </w:r>
            <w:r>
              <w:rPr>
                <w:rFonts w:hint="eastAsia" w:ascii="宋体" w:hAnsi="宋体" w:eastAsia="宋体" w:cs="Times New Roman"/>
                <w:bCs/>
                <w:szCs w:val="21"/>
              </w:rPr>
              <w:t>交流或</w:t>
            </w:r>
            <w:r>
              <w:rPr>
                <w:rFonts w:ascii="宋体" w:hAnsi="宋体" w:eastAsia="宋体" w:cs="Times New Roman"/>
                <w:bCs/>
                <w:szCs w:val="21"/>
              </w:rPr>
              <w:t>展演活动</w:t>
            </w:r>
            <w:r>
              <w:rPr>
                <w:rFonts w:hint="eastAsia" w:ascii="宋体" w:hAnsi="宋体" w:eastAsia="宋体" w:cs="Times New Roman"/>
                <w:bCs/>
                <w:szCs w:val="21"/>
              </w:rPr>
              <w:t>。（2</w:t>
            </w:r>
            <w:r>
              <w:rPr>
                <w:rFonts w:ascii="宋体" w:hAnsi="宋体" w:eastAsia="宋体" w:cs="Times New Roman"/>
                <w:bCs/>
                <w:szCs w:val="21"/>
              </w:rPr>
              <w:t>分</w:t>
            </w:r>
            <w:r>
              <w:rPr>
                <w:rFonts w:hint="eastAsia" w:ascii="宋体" w:hAnsi="宋体"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研讨培训情况</w:t>
            </w:r>
          </w:p>
          <w:p>
            <w:pPr>
              <w:spacing w:line="280" w:lineRule="exact"/>
              <w:jc w:val="center"/>
              <w:rPr>
                <w:rFonts w:ascii="宋体" w:hAnsi="宋体" w:eastAsia="宋体" w:cs="Times New Roman"/>
                <w:b/>
                <w:szCs w:val="21"/>
              </w:rPr>
            </w:pPr>
            <w:r>
              <w:rPr>
                <w:rFonts w:hint="eastAsia" w:ascii="宋体" w:hAnsi="宋体" w:eastAsia="宋体" w:cs="Times New Roman"/>
                <w:b/>
                <w:color w:val="000000" w:themeColor="text1"/>
                <w:szCs w:val="21"/>
                <w14:textFill>
                  <w14:solidFill>
                    <w14:schemeClr w14:val="tx1"/>
                  </w14:solidFill>
                </w14:textFill>
              </w:rPr>
              <w:t>（4分）</w:t>
            </w:r>
          </w:p>
        </w:tc>
        <w:tc>
          <w:tcPr>
            <w:tcW w:w="5820" w:type="dxa"/>
            <w:vAlign w:val="center"/>
          </w:tcPr>
          <w:p>
            <w:pPr>
              <w:pStyle w:val="22"/>
              <w:spacing w:line="300" w:lineRule="exact"/>
              <w:rPr>
                <w:rFonts w:hAnsi="宋体" w:cs="Times New Roman"/>
                <w:bCs/>
                <w:color w:val="auto"/>
                <w:kern w:val="2"/>
                <w:sz w:val="21"/>
                <w:szCs w:val="21"/>
              </w:rPr>
            </w:pPr>
            <w:r>
              <w:rPr>
                <w:rFonts w:hint="eastAsia" w:hAnsi="宋体" w:cs="Times New Roman"/>
                <w:bCs/>
                <w:color w:val="auto"/>
                <w:kern w:val="2"/>
                <w:sz w:val="21"/>
                <w:szCs w:val="21"/>
              </w:rPr>
              <w:t>1</w:t>
            </w:r>
            <w:r>
              <w:rPr>
                <w:rFonts w:hAnsi="宋体" w:cs="Times New Roman"/>
                <w:bCs/>
                <w:color w:val="auto"/>
                <w:kern w:val="2"/>
                <w:sz w:val="21"/>
                <w:szCs w:val="21"/>
              </w:rPr>
              <w:t>.</w:t>
            </w:r>
            <w:r>
              <w:rPr>
                <w:rFonts w:hint="eastAsia" w:hAnsi="宋体" w:cs="Times New Roman"/>
                <w:bCs/>
                <w:color w:val="auto"/>
                <w:kern w:val="2"/>
                <w:sz w:val="21"/>
                <w:szCs w:val="21"/>
              </w:rPr>
              <w:t>积极参加由政府部门、高校及其他学术团队举办的研讨会、座谈会等，并发言。（2</w:t>
            </w:r>
            <w:r>
              <w:rPr>
                <w:rFonts w:hAnsi="宋体" w:cs="Times New Roman"/>
                <w:bCs/>
                <w:color w:val="auto"/>
                <w:kern w:val="2"/>
                <w:sz w:val="21"/>
                <w:szCs w:val="21"/>
              </w:rPr>
              <w:t>分</w:t>
            </w:r>
            <w:r>
              <w:rPr>
                <w:rFonts w:hint="eastAsia" w:hAnsi="宋体" w:cs="Times New Roman"/>
                <w:bCs/>
                <w:color w:val="auto"/>
                <w:kern w:val="2"/>
                <w:sz w:val="21"/>
                <w:szCs w:val="21"/>
              </w:rPr>
              <w:t>）</w:t>
            </w:r>
          </w:p>
          <w:p>
            <w:pPr>
              <w:spacing w:line="300" w:lineRule="exact"/>
              <w:rPr>
                <w:rFonts w:ascii="宋体" w:hAnsi="宋体" w:eastAsia="宋体" w:cs="Times New Roman"/>
                <w:bCs/>
                <w:szCs w:val="21"/>
              </w:rPr>
            </w:pPr>
            <w:r>
              <w:rPr>
                <w:rFonts w:hint="eastAsia" w:ascii="宋体" w:hAnsi="宋体" w:eastAsia="宋体" w:cs="Times New Roman"/>
                <w:bCs/>
                <w:szCs w:val="21"/>
              </w:rPr>
              <w:t>2</w:t>
            </w:r>
            <w:r>
              <w:rPr>
                <w:rFonts w:ascii="宋体" w:hAnsi="宋体" w:eastAsia="宋体" w:cs="Times New Roman"/>
                <w:bCs/>
                <w:szCs w:val="21"/>
              </w:rPr>
              <w:t>.</w:t>
            </w:r>
            <w:r>
              <w:rPr>
                <w:rFonts w:hint="eastAsia" w:ascii="宋体" w:hAnsi="宋体" w:eastAsia="宋体" w:cs="Times New Roman"/>
                <w:bCs/>
                <w:szCs w:val="21"/>
              </w:rPr>
              <w:t>积极参加政府专业部门组织的专业研培学习。（2</w:t>
            </w:r>
            <w:r>
              <w:rPr>
                <w:rFonts w:ascii="宋体" w:hAnsi="宋体" w:eastAsia="宋体" w:cs="Times New Roman"/>
                <w:bCs/>
                <w:szCs w:val="21"/>
              </w:rPr>
              <w:t>分</w:t>
            </w:r>
            <w:r>
              <w:rPr>
                <w:rFonts w:hint="eastAsia" w:ascii="宋体" w:hAnsi="宋体"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restart"/>
            <w:vAlign w:val="center"/>
          </w:tcPr>
          <w:p>
            <w:pPr>
              <w:spacing w:line="280" w:lineRule="exact"/>
              <w:jc w:val="center"/>
              <w:rPr>
                <w:rFonts w:ascii="宋体" w:hAnsi="宋体" w:eastAsia="宋体" w:cs="Times New Roman"/>
                <w:b/>
                <w:bCs/>
                <w:color w:val="000000" w:themeColor="text1"/>
                <w:szCs w:val="21"/>
                <w14:textFill>
                  <w14:solidFill>
                    <w14:schemeClr w14:val="tx1"/>
                  </w14:solidFill>
                </w14:textFill>
              </w:rPr>
            </w:pPr>
            <w:bookmarkStart w:id="2" w:name="_Hlk25861085"/>
            <w:r>
              <w:rPr>
                <w:rFonts w:hint="eastAsia" w:ascii="宋体" w:hAnsi="宋体" w:eastAsia="宋体" w:cs="Times New Roman"/>
                <w:b/>
                <w:bCs/>
                <w:color w:val="000000" w:themeColor="text1"/>
                <w:szCs w:val="21"/>
                <w14:textFill>
                  <w14:solidFill>
                    <w14:schemeClr w14:val="tx1"/>
                  </w14:solidFill>
                </w14:textFill>
              </w:rPr>
              <w:t>附加分项</w:t>
            </w:r>
          </w:p>
          <w:p>
            <w:pPr>
              <w:spacing w:line="280" w:lineRule="exact"/>
              <w:jc w:val="center"/>
              <w:rPr>
                <w:rFonts w:ascii="宋体" w:hAnsi="宋体" w:eastAsia="宋体" w:cs="Times New Roman"/>
                <w:b/>
                <w:bCs/>
                <w:color w:val="000000" w:themeColor="text1"/>
                <w:szCs w:val="21"/>
                <w14:textFill>
                  <w14:solidFill>
                    <w14:schemeClr w14:val="tx1"/>
                  </w14:solidFill>
                </w14:textFill>
              </w:rPr>
            </w:pPr>
            <w:r>
              <w:rPr>
                <w:rFonts w:hint="eastAsia" w:ascii="宋体" w:hAnsi="宋体" w:eastAsia="宋体" w:cs="Times New Roman"/>
                <w:b/>
                <w:bCs/>
                <w:color w:val="000000" w:themeColor="text1"/>
                <w:szCs w:val="21"/>
                <w14:textFill>
                  <w14:solidFill>
                    <w14:schemeClr w14:val="tx1"/>
                  </w14:solidFill>
                </w14:textFill>
              </w:rPr>
              <w:t>（30分）</w:t>
            </w:r>
          </w:p>
          <w:bookmarkEnd w:id="2"/>
          <w:p>
            <w:pPr>
              <w:spacing w:line="280" w:lineRule="exact"/>
              <w:jc w:val="center"/>
              <w:rPr>
                <w:rFonts w:ascii="宋体" w:hAnsi="宋体" w:eastAsia="宋体" w:cs="Times New Roman"/>
                <w:b/>
                <w:bCs/>
                <w:color w:val="000000" w:themeColor="text1"/>
                <w:szCs w:val="21"/>
                <w14:textFill>
                  <w14:solidFill>
                    <w14:schemeClr w14:val="tx1"/>
                  </w14:solidFill>
                </w14:textFill>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奖励表彰</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（10分）</w:t>
            </w:r>
          </w:p>
        </w:tc>
        <w:tc>
          <w:tcPr>
            <w:tcW w:w="5820" w:type="dxa"/>
            <w:vAlign w:val="center"/>
          </w:tcPr>
          <w:p>
            <w:pPr>
              <w:pStyle w:val="22"/>
              <w:spacing w:line="300" w:lineRule="exact"/>
              <w:rPr>
                <w:rFonts w:hAnsi="宋体" w:cs="Times New Roman"/>
                <w:bCs/>
                <w:color w:val="auto"/>
                <w:kern w:val="2"/>
                <w:sz w:val="21"/>
                <w:szCs w:val="21"/>
              </w:rPr>
            </w:pPr>
            <w:r>
              <w:rPr>
                <w:rFonts w:hint="eastAsia" w:hAnsi="宋体" w:cs="Times New Roman"/>
                <w:bCs/>
                <w:color w:val="auto"/>
                <w:kern w:val="2"/>
                <w:sz w:val="21"/>
                <w:szCs w:val="21"/>
              </w:rPr>
              <w:t>获国际级、国家级、业界公认的非遗保护领域奖项或表彰；获市级非遗保护领域奖项或表彰。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特色亮点</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（10分）</w:t>
            </w:r>
          </w:p>
        </w:tc>
        <w:tc>
          <w:tcPr>
            <w:tcW w:w="5820" w:type="dxa"/>
            <w:vAlign w:val="center"/>
          </w:tcPr>
          <w:p>
            <w:pPr>
              <w:pStyle w:val="22"/>
              <w:spacing w:line="300" w:lineRule="exact"/>
              <w:rPr>
                <w:rFonts w:hAnsi="宋体" w:cs="Times New Roman"/>
                <w:bCs/>
                <w:color w:val="auto"/>
                <w:kern w:val="2"/>
                <w:sz w:val="21"/>
                <w:szCs w:val="21"/>
              </w:rPr>
            </w:pPr>
            <w:r>
              <w:rPr>
                <w:rFonts w:hint="eastAsia" w:hAnsi="宋体" w:cs="Times New Roman"/>
                <w:bCs/>
                <w:color w:val="auto"/>
                <w:kern w:val="2"/>
                <w:sz w:val="21"/>
                <w:szCs w:val="21"/>
              </w:rPr>
              <w:t>在开展</w:t>
            </w:r>
            <w:r>
              <w:rPr>
                <w:rFonts w:hAnsi="宋体" w:cs="Times New Roman"/>
                <w:bCs/>
                <w:color w:val="auto"/>
                <w:kern w:val="2"/>
                <w:sz w:val="21"/>
                <w:szCs w:val="21"/>
              </w:rPr>
              <w:t>学术研究</w:t>
            </w:r>
            <w:r>
              <w:rPr>
                <w:rFonts w:hint="eastAsia" w:hAnsi="宋体" w:cs="Times New Roman"/>
                <w:bCs/>
                <w:color w:val="auto"/>
                <w:kern w:val="2"/>
                <w:sz w:val="21"/>
                <w:szCs w:val="21"/>
              </w:rPr>
              <w:t>、非遗</w:t>
            </w:r>
            <w:r>
              <w:rPr>
                <w:rFonts w:hAnsi="宋体" w:cs="Times New Roman"/>
                <w:bCs/>
                <w:color w:val="auto"/>
                <w:kern w:val="2"/>
                <w:sz w:val="21"/>
                <w:szCs w:val="21"/>
              </w:rPr>
              <w:t>扶贫、社会公益、文旅融合、双创实践、文化品牌建设、</w:t>
            </w:r>
            <w:r>
              <w:rPr>
                <w:rFonts w:hint="eastAsia" w:hAnsi="宋体" w:cs="Times New Roman"/>
                <w:bCs/>
                <w:color w:val="auto"/>
                <w:kern w:val="2"/>
                <w:sz w:val="21"/>
                <w:szCs w:val="21"/>
              </w:rPr>
              <w:t>“非遗在社区”、</w:t>
            </w:r>
            <w:r>
              <w:rPr>
                <w:rFonts w:hAnsi="宋体" w:cs="Times New Roman"/>
                <w:bCs/>
                <w:color w:val="auto"/>
                <w:kern w:val="2"/>
                <w:sz w:val="21"/>
                <w:szCs w:val="21"/>
              </w:rPr>
              <w:t>“一带一路”合作建设等方面具有突出成效</w:t>
            </w:r>
            <w:r>
              <w:rPr>
                <w:rFonts w:hint="eastAsia" w:hAnsi="宋体" w:cs="Times New Roman"/>
                <w:bCs/>
                <w:color w:val="auto"/>
                <w:kern w:val="2"/>
                <w:sz w:val="21"/>
                <w:szCs w:val="21"/>
              </w:rPr>
              <w:t>并</w:t>
            </w:r>
            <w:r>
              <w:rPr>
                <w:rFonts w:hAnsi="宋体" w:cs="Times New Roman"/>
                <w:bCs/>
                <w:color w:val="auto"/>
                <w:kern w:val="2"/>
                <w:sz w:val="21"/>
                <w:szCs w:val="21"/>
              </w:rPr>
              <w:t>形成特色亮点，经评估认定的优秀实践活动。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7" w:type="dxa"/>
            <w:vMerge w:val="continue"/>
            <w:vAlign w:val="center"/>
          </w:tcPr>
          <w:p>
            <w:pPr>
              <w:spacing w:line="280" w:lineRule="exact"/>
              <w:jc w:val="center"/>
              <w:rPr>
                <w:rFonts w:ascii="宋体" w:hAnsi="宋体" w:eastAsia="宋体" w:cs="Times New Roman"/>
                <w:b/>
                <w:szCs w:val="21"/>
              </w:rPr>
            </w:pPr>
          </w:p>
        </w:tc>
        <w:tc>
          <w:tcPr>
            <w:tcW w:w="1984" w:type="dxa"/>
            <w:vAlign w:val="center"/>
          </w:tcPr>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媒体传播</w:t>
            </w:r>
          </w:p>
          <w:p>
            <w:pPr>
              <w:spacing w:line="280" w:lineRule="exact"/>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（10分）</w:t>
            </w:r>
          </w:p>
        </w:tc>
        <w:tc>
          <w:tcPr>
            <w:tcW w:w="5820" w:type="dxa"/>
            <w:vAlign w:val="center"/>
          </w:tcPr>
          <w:p>
            <w:pPr>
              <w:pStyle w:val="22"/>
              <w:spacing w:line="300" w:lineRule="exact"/>
              <w:rPr>
                <w:rFonts w:hAnsi="宋体" w:cs="Times New Roman"/>
                <w:bCs/>
                <w:color w:val="auto"/>
                <w:kern w:val="2"/>
                <w:sz w:val="21"/>
                <w:szCs w:val="21"/>
              </w:rPr>
            </w:pPr>
            <w:r>
              <w:rPr>
                <w:rFonts w:hAnsi="宋体" w:cs="Times New Roman"/>
                <w:bCs/>
                <w:color w:val="auto"/>
                <w:kern w:val="2"/>
                <w:sz w:val="21"/>
                <w:szCs w:val="21"/>
              </w:rPr>
              <w:t>获国家级</w:t>
            </w:r>
            <w:r>
              <w:rPr>
                <w:rFonts w:hint="eastAsia" w:hAnsi="宋体" w:cs="Times New Roman"/>
                <w:bCs/>
                <w:color w:val="auto"/>
                <w:kern w:val="2"/>
                <w:sz w:val="21"/>
                <w:szCs w:val="21"/>
              </w:rPr>
              <w:t>或省部级</w:t>
            </w:r>
            <w:r>
              <w:rPr>
                <w:rFonts w:hAnsi="宋体" w:cs="Times New Roman"/>
                <w:bCs/>
                <w:color w:val="auto"/>
                <w:kern w:val="2"/>
                <w:sz w:val="21"/>
                <w:szCs w:val="21"/>
              </w:rPr>
              <w:t>媒体报道</w:t>
            </w:r>
            <w:r>
              <w:rPr>
                <w:rFonts w:hint="eastAsia" w:hAnsi="宋体" w:cs="Times New Roman"/>
                <w:bCs/>
                <w:color w:val="auto"/>
                <w:kern w:val="2"/>
                <w:sz w:val="21"/>
                <w:szCs w:val="21"/>
              </w:rPr>
              <w:t>，</w:t>
            </w:r>
            <w:r>
              <w:rPr>
                <w:rFonts w:hAnsi="宋体" w:cs="Times New Roman"/>
                <w:bCs/>
                <w:color w:val="auto"/>
                <w:kern w:val="2"/>
                <w:sz w:val="21"/>
                <w:szCs w:val="21"/>
              </w:rPr>
              <w:t>拥</w:t>
            </w:r>
            <w:r>
              <w:rPr>
                <w:rFonts w:hint="eastAsia" w:hAnsi="宋体" w:cs="Times New Roman"/>
                <w:bCs/>
                <w:color w:val="auto"/>
                <w:kern w:val="2"/>
                <w:sz w:val="21"/>
                <w:szCs w:val="21"/>
              </w:rPr>
              <w:t>有</w:t>
            </w:r>
            <w:r>
              <w:rPr>
                <w:rFonts w:hAnsi="宋体" w:cs="Times New Roman"/>
                <w:bCs/>
                <w:color w:val="auto"/>
                <w:kern w:val="2"/>
                <w:sz w:val="21"/>
                <w:szCs w:val="21"/>
              </w:rPr>
              <w:t>自媒体平台</w:t>
            </w:r>
            <w:r>
              <w:rPr>
                <w:rFonts w:hint="eastAsia" w:hAnsi="宋体" w:cs="Times New Roman"/>
                <w:bCs/>
                <w:color w:val="auto"/>
                <w:kern w:val="2"/>
                <w:sz w:val="21"/>
                <w:szCs w:val="21"/>
              </w:rPr>
              <w:t>并定期更新原创内容。</w:t>
            </w:r>
          </w:p>
        </w:tc>
      </w:tr>
    </w:tbl>
    <w:p/>
    <w:p>
      <w:pPr>
        <w:rPr>
          <w:rFonts w:ascii="方正小标宋简体" w:hAnsi="黑体" w:eastAsia="方正小标宋简体"/>
          <w:color w:val="000000" w:themeColor="text1"/>
          <w:sz w:val="36"/>
          <w:szCs w:val="40"/>
          <w14:textFill>
            <w14:solidFill>
              <w14:schemeClr w14:val="tx1"/>
            </w14:solidFill>
          </w14:textFill>
        </w:rPr>
      </w:pPr>
    </w:p>
    <w:sectPr>
      <w:footerReference r:id="rId4" w:type="default"/>
      <w:footerReference r:id="rId5" w:type="even"/>
      <w:footnotePr>
        <w:numFmt w:val="decimalEnclosedCircleChinese"/>
      </w:footnotePr>
      <w:pgSz w:w="11906" w:h="16838"/>
      <w:pgMar w:top="1440" w:right="1361" w:bottom="1440" w:left="1361"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Courier">
    <w:altName w:val="Noto Sans Mono"/>
    <w:panose1 w:val="02070409020205020404"/>
    <w:charset w:val="00"/>
    <w:family w:val="moder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泉驿正黑">
    <w:panose1 w:val="02000603000000000000"/>
    <w:charset w:val="86"/>
    <w:family w:val="auto"/>
    <w:pitch w:val="default"/>
    <w:sig w:usb0="900002BF" w:usb1="2BDF7DFB" w:usb2="00000036" w:usb3="00000000" w:csb0="603E000D" w:csb1="D2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6101730"/>
      <w:docPartObj>
        <w:docPartGallery w:val="AutoText"/>
      </w:docPartObj>
    </w:sdtPr>
    <w:sdtEndPr>
      <w:rPr>
        <w:rFonts w:ascii="宋体" w:hAnsi="宋体" w:eastAsia="宋体"/>
        <w:sz w:val="28"/>
        <w:szCs w:val="28"/>
      </w:rPr>
    </w:sdtEndPr>
    <w:sdtContent>
      <w:p>
        <w:pPr>
          <w:pStyle w:val="6"/>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4"/>
      </w:rPr>
      <w:id w:val="586735590"/>
      <w:docPartObj>
        <w:docPartGallery w:val="AutoText"/>
      </w:docPartObj>
    </w:sdtPr>
    <w:sdtEndPr>
      <w:rPr>
        <w:rStyle w:val="14"/>
      </w:rPr>
    </w:sdtEndPr>
    <w:sdtContent>
      <w:p>
        <w:pPr>
          <w:pStyle w:val="6"/>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ind w:left="360" w:hanging="360" w:hangingChars="200"/>
        <w:jc w:val="both"/>
      </w:pPr>
      <w:r>
        <w:rPr>
          <w:rStyle w:val="16"/>
          <w:vertAlign w:val="baseline"/>
        </w:rPr>
        <w:footnoteRef/>
      </w:r>
      <w:r>
        <w:rPr>
          <w:rFonts w:hint="eastAsia"/>
        </w:rPr>
        <w:t xml:space="preserve"> </w:t>
      </w:r>
      <w:r>
        <w:t xml:space="preserve"> </w:t>
      </w:r>
      <w:r>
        <w:rPr>
          <w:rFonts w:hint="eastAsia"/>
        </w:rPr>
        <w:t>联合国教科文组织</w:t>
      </w:r>
      <w:r>
        <w:t>2003年发布的《保护非物质文化遗产公约》中第二条“定义”和第十五条“社区、群体和个人的参与”中，提出“社区”这一概念。第二条“定义”中提出“这种非物质文化遗产世代相传，在各社区和群体适应周围环境以及与自然和历史的互动中，被不断地再创造，为这些社区和群体提供认同感和持续感，从而增强对文化多样性和人类创造力的尊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396"/>
    <w:rsid w:val="00000E86"/>
    <w:rsid w:val="00001AE2"/>
    <w:rsid w:val="00014845"/>
    <w:rsid w:val="00015A9A"/>
    <w:rsid w:val="00020769"/>
    <w:rsid w:val="00021000"/>
    <w:rsid w:val="00022DAB"/>
    <w:rsid w:val="00026688"/>
    <w:rsid w:val="000271A8"/>
    <w:rsid w:val="000340EF"/>
    <w:rsid w:val="00037752"/>
    <w:rsid w:val="00043C2F"/>
    <w:rsid w:val="00053436"/>
    <w:rsid w:val="000636A6"/>
    <w:rsid w:val="00073407"/>
    <w:rsid w:val="00073E03"/>
    <w:rsid w:val="00074390"/>
    <w:rsid w:val="00077AD8"/>
    <w:rsid w:val="0008277E"/>
    <w:rsid w:val="0009591A"/>
    <w:rsid w:val="00096F42"/>
    <w:rsid w:val="000A0A40"/>
    <w:rsid w:val="000A2AD4"/>
    <w:rsid w:val="000C65E7"/>
    <w:rsid w:val="000D00D2"/>
    <w:rsid w:val="000D1681"/>
    <w:rsid w:val="000D49C0"/>
    <w:rsid w:val="000D5F50"/>
    <w:rsid w:val="000E2375"/>
    <w:rsid w:val="000F168F"/>
    <w:rsid w:val="000F18FA"/>
    <w:rsid w:val="000F72FB"/>
    <w:rsid w:val="001002F2"/>
    <w:rsid w:val="00101F23"/>
    <w:rsid w:val="00101FF2"/>
    <w:rsid w:val="00103267"/>
    <w:rsid w:val="001034B4"/>
    <w:rsid w:val="0010518E"/>
    <w:rsid w:val="001130B6"/>
    <w:rsid w:val="00120A6B"/>
    <w:rsid w:val="001311E0"/>
    <w:rsid w:val="00133C80"/>
    <w:rsid w:val="001340FF"/>
    <w:rsid w:val="00137B59"/>
    <w:rsid w:val="00143BB1"/>
    <w:rsid w:val="00146E2C"/>
    <w:rsid w:val="00153277"/>
    <w:rsid w:val="00154D6E"/>
    <w:rsid w:val="001556EC"/>
    <w:rsid w:val="00156735"/>
    <w:rsid w:val="0015721A"/>
    <w:rsid w:val="00157E80"/>
    <w:rsid w:val="00164460"/>
    <w:rsid w:val="00170BFB"/>
    <w:rsid w:val="0017106E"/>
    <w:rsid w:val="00172E35"/>
    <w:rsid w:val="00177FD5"/>
    <w:rsid w:val="00183FA5"/>
    <w:rsid w:val="00187862"/>
    <w:rsid w:val="00195B79"/>
    <w:rsid w:val="00196DFC"/>
    <w:rsid w:val="001A0CBD"/>
    <w:rsid w:val="001A2118"/>
    <w:rsid w:val="001A2313"/>
    <w:rsid w:val="001A50AA"/>
    <w:rsid w:val="001C1A11"/>
    <w:rsid w:val="001C1AE7"/>
    <w:rsid w:val="001C39E3"/>
    <w:rsid w:val="001C4AA8"/>
    <w:rsid w:val="001D0B9D"/>
    <w:rsid w:val="001D1D09"/>
    <w:rsid w:val="001D2658"/>
    <w:rsid w:val="001D57EA"/>
    <w:rsid w:val="001D755D"/>
    <w:rsid w:val="001E2857"/>
    <w:rsid w:val="001E5329"/>
    <w:rsid w:val="001F29AC"/>
    <w:rsid w:val="001F6474"/>
    <w:rsid w:val="001F7711"/>
    <w:rsid w:val="002003E9"/>
    <w:rsid w:val="00207A4D"/>
    <w:rsid w:val="00211EA1"/>
    <w:rsid w:val="00224E11"/>
    <w:rsid w:val="0022502F"/>
    <w:rsid w:val="002371B1"/>
    <w:rsid w:val="00256A42"/>
    <w:rsid w:val="002629DF"/>
    <w:rsid w:val="0027036B"/>
    <w:rsid w:val="00270621"/>
    <w:rsid w:val="0027239A"/>
    <w:rsid w:val="00273337"/>
    <w:rsid w:val="00276FBE"/>
    <w:rsid w:val="0027758E"/>
    <w:rsid w:val="00280429"/>
    <w:rsid w:val="00281FB9"/>
    <w:rsid w:val="0028643A"/>
    <w:rsid w:val="00295477"/>
    <w:rsid w:val="002A1CA0"/>
    <w:rsid w:val="002A43DE"/>
    <w:rsid w:val="002B20F4"/>
    <w:rsid w:val="002B2FA1"/>
    <w:rsid w:val="002B35C3"/>
    <w:rsid w:val="002B6840"/>
    <w:rsid w:val="002B75FD"/>
    <w:rsid w:val="002C0B76"/>
    <w:rsid w:val="002C39D9"/>
    <w:rsid w:val="002D0F1C"/>
    <w:rsid w:val="002D30BD"/>
    <w:rsid w:val="002D60D6"/>
    <w:rsid w:val="002E0D2D"/>
    <w:rsid w:val="002E0E31"/>
    <w:rsid w:val="002E5E34"/>
    <w:rsid w:val="002F4E90"/>
    <w:rsid w:val="002F753B"/>
    <w:rsid w:val="002F7C16"/>
    <w:rsid w:val="00300B7E"/>
    <w:rsid w:val="0030387F"/>
    <w:rsid w:val="00306D3C"/>
    <w:rsid w:val="00316605"/>
    <w:rsid w:val="00321902"/>
    <w:rsid w:val="0032213D"/>
    <w:rsid w:val="00324803"/>
    <w:rsid w:val="003304DC"/>
    <w:rsid w:val="00334736"/>
    <w:rsid w:val="00334DCE"/>
    <w:rsid w:val="00334F54"/>
    <w:rsid w:val="00340DBF"/>
    <w:rsid w:val="00341D3C"/>
    <w:rsid w:val="00343169"/>
    <w:rsid w:val="00345A16"/>
    <w:rsid w:val="00345CC1"/>
    <w:rsid w:val="0035091C"/>
    <w:rsid w:val="00350C8A"/>
    <w:rsid w:val="00353F4B"/>
    <w:rsid w:val="003557F5"/>
    <w:rsid w:val="003565E7"/>
    <w:rsid w:val="00361103"/>
    <w:rsid w:val="003841F7"/>
    <w:rsid w:val="00385714"/>
    <w:rsid w:val="00386361"/>
    <w:rsid w:val="0039013E"/>
    <w:rsid w:val="00396A91"/>
    <w:rsid w:val="00397265"/>
    <w:rsid w:val="003A082A"/>
    <w:rsid w:val="003A4C0D"/>
    <w:rsid w:val="003A4ECB"/>
    <w:rsid w:val="003B3759"/>
    <w:rsid w:val="003B4B2E"/>
    <w:rsid w:val="003B668D"/>
    <w:rsid w:val="003C2AC9"/>
    <w:rsid w:val="003D00FA"/>
    <w:rsid w:val="003E09E6"/>
    <w:rsid w:val="003E2B11"/>
    <w:rsid w:val="003E2D1A"/>
    <w:rsid w:val="003E6172"/>
    <w:rsid w:val="003F56E0"/>
    <w:rsid w:val="003F6B47"/>
    <w:rsid w:val="003F778D"/>
    <w:rsid w:val="0040232B"/>
    <w:rsid w:val="00403C95"/>
    <w:rsid w:val="00404D70"/>
    <w:rsid w:val="00417823"/>
    <w:rsid w:val="0042527C"/>
    <w:rsid w:val="00432309"/>
    <w:rsid w:val="00432C2C"/>
    <w:rsid w:val="0043456E"/>
    <w:rsid w:val="00435DB3"/>
    <w:rsid w:val="00445343"/>
    <w:rsid w:val="00450262"/>
    <w:rsid w:val="00452200"/>
    <w:rsid w:val="00456904"/>
    <w:rsid w:val="004632EC"/>
    <w:rsid w:val="00464FE9"/>
    <w:rsid w:val="00472D0B"/>
    <w:rsid w:val="0047481A"/>
    <w:rsid w:val="0047597D"/>
    <w:rsid w:val="00482186"/>
    <w:rsid w:val="00486A67"/>
    <w:rsid w:val="004926B9"/>
    <w:rsid w:val="00496262"/>
    <w:rsid w:val="004A2116"/>
    <w:rsid w:val="004A2B98"/>
    <w:rsid w:val="004A2C68"/>
    <w:rsid w:val="004A4BE5"/>
    <w:rsid w:val="004C43C4"/>
    <w:rsid w:val="004C6331"/>
    <w:rsid w:val="004C706D"/>
    <w:rsid w:val="004D3B41"/>
    <w:rsid w:val="004D715F"/>
    <w:rsid w:val="004E467C"/>
    <w:rsid w:val="004E54EE"/>
    <w:rsid w:val="004E58F9"/>
    <w:rsid w:val="004F6D11"/>
    <w:rsid w:val="00500F43"/>
    <w:rsid w:val="00505111"/>
    <w:rsid w:val="00511B5A"/>
    <w:rsid w:val="00514E03"/>
    <w:rsid w:val="00515F24"/>
    <w:rsid w:val="00517BE4"/>
    <w:rsid w:val="00522F0D"/>
    <w:rsid w:val="005236D5"/>
    <w:rsid w:val="005266E7"/>
    <w:rsid w:val="00535EB4"/>
    <w:rsid w:val="00537316"/>
    <w:rsid w:val="00540F99"/>
    <w:rsid w:val="005422EC"/>
    <w:rsid w:val="00544E8A"/>
    <w:rsid w:val="00545A0B"/>
    <w:rsid w:val="005522FA"/>
    <w:rsid w:val="00555F98"/>
    <w:rsid w:val="0055667F"/>
    <w:rsid w:val="0056112B"/>
    <w:rsid w:val="0056239C"/>
    <w:rsid w:val="00570CF7"/>
    <w:rsid w:val="00576656"/>
    <w:rsid w:val="00597BAD"/>
    <w:rsid w:val="005A3CAE"/>
    <w:rsid w:val="005A442C"/>
    <w:rsid w:val="005A578C"/>
    <w:rsid w:val="005A7CC2"/>
    <w:rsid w:val="005B36F6"/>
    <w:rsid w:val="005B469B"/>
    <w:rsid w:val="005C22ED"/>
    <w:rsid w:val="005C39F7"/>
    <w:rsid w:val="005C517D"/>
    <w:rsid w:val="005C6B7E"/>
    <w:rsid w:val="005D196D"/>
    <w:rsid w:val="005D232C"/>
    <w:rsid w:val="005D236D"/>
    <w:rsid w:val="005D25AB"/>
    <w:rsid w:val="005D3445"/>
    <w:rsid w:val="005D4627"/>
    <w:rsid w:val="005D6BA4"/>
    <w:rsid w:val="005E04C0"/>
    <w:rsid w:val="005E4419"/>
    <w:rsid w:val="005E4B1E"/>
    <w:rsid w:val="005E4B2E"/>
    <w:rsid w:val="005F0B3B"/>
    <w:rsid w:val="005F2A15"/>
    <w:rsid w:val="005F665A"/>
    <w:rsid w:val="006052CD"/>
    <w:rsid w:val="00610532"/>
    <w:rsid w:val="00611E30"/>
    <w:rsid w:val="00612AB5"/>
    <w:rsid w:val="0061489A"/>
    <w:rsid w:val="006157A9"/>
    <w:rsid w:val="00617939"/>
    <w:rsid w:val="00633134"/>
    <w:rsid w:val="006336EC"/>
    <w:rsid w:val="00633E97"/>
    <w:rsid w:val="00643A28"/>
    <w:rsid w:val="00643C4A"/>
    <w:rsid w:val="00652A38"/>
    <w:rsid w:val="00652B54"/>
    <w:rsid w:val="006649A1"/>
    <w:rsid w:val="00675400"/>
    <w:rsid w:val="006926AE"/>
    <w:rsid w:val="006A361C"/>
    <w:rsid w:val="006A537B"/>
    <w:rsid w:val="006A6490"/>
    <w:rsid w:val="006B1325"/>
    <w:rsid w:val="006B3E33"/>
    <w:rsid w:val="006C0295"/>
    <w:rsid w:val="006C123D"/>
    <w:rsid w:val="006C5453"/>
    <w:rsid w:val="006C6D1A"/>
    <w:rsid w:val="006C6F6D"/>
    <w:rsid w:val="006D4826"/>
    <w:rsid w:val="006E433B"/>
    <w:rsid w:val="006E7A14"/>
    <w:rsid w:val="006F0B63"/>
    <w:rsid w:val="00701904"/>
    <w:rsid w:val="007065A6"/>
    <w:rsid w:val="00713761"/>
    <w:rsid w:val="007146D1"/>
    <w:rsid w:val="00714BE0"/>
    <w:rsid w:val="00716A1F"/>
    <w:rsid w:val="00722D2A"/>
    <w:rsid w:val="00734D92"/>
    <w:rsid w:val="007371D1"/>
    <w:rsid w:val="007400EA"/>
    <w:rsid w:val="00743B6E"/>
    <w:rsid w:val="00743BEC"/>
    <w:rsid w:val="00747BFD"/>
    <w:rsid w:val="00751319"/>
    <w:rsid w:val="007547CA"/>
    <w:rsid w:val="007665B7"/>
    <w:rsid w:val="00776B83"/>
    <w:rsid w:val="00781A40"/>
    <w:rsid w:val="0079496E"/>
    <w:rsid w:val="00797A4D"/>
    <w:rsid w:val="007A0667"/>
    <w:rsid w:val="007A0A8F"/>
    <w:rsid w:val="007A2538"/>
    <w:rsid w:val="007A3DF1"/>
    <w:rsid w:val="007A4BAF"/>
    <w:rsid w:val="007A4F32"/>
    <w:rsid w:val="007A7D01"/>
    <w:rsid w:val="007A7D91"/>
    <w:rsid w:val="007B0B5F"/>
    <w:rsid w:val="007B4DF7"/>
    <w:rsid w:val="007B7CD0"/>
    <w:rsid w:val="007C2708"/>
    <w:rsid w:val="007C2936"/>
    <w:rsid w:val="007C4244"/>
    <w:rsid w:val="007C470C"/>
    <w:rsid w:val="007C5BFE"/>
    <w:rsid w:val="007D3975"/>
    <w:rsid w:val="007D64C7"/>
    <w:rsid w:val="007E1000"/>
    <w:rsid w:val="007E1F52"/>
    <w:rsid w:val="007E2CD3"/>
    <w:rsid w:val="007E5623"/>
    <w:rsid w:val="007F0903"/>
    <w:rsid w:val="007F4BC2"/>
    <w:rsid w:val="007F5176"/>
    <w:rsid w:val="00800B4D"/>
    <w:rsid w:val="0080459C"/>
    <w:rsid w:val="008046B6"/>
    <w:rsid w:val="00804960"/>
    <w:rsid w:val="008062A5"/>
    <w:rsid w:val="00812157"/>
    <w:rsid w:val="008168EB"/>
    <w:rsid w:val="008228DA"/>
    <w:rsid w:val="00822E84"/>
    <w:rsid w:val="0082702B"/>
    <w:rsid w:val="0082796A"/>
    <w:rsid w:val="00827D53"/>
    <w:rsid w:val="00832633"/>
    <w:rsid w:val="00836DC1"/>
    <w:rsid w:val="00847270"/>
    <w:rsid w:val="0085478E"/>
    <w:rsid w:val="0085755C"/>
    <w:rsid w:val="00861434"/>
    <w:rsid w:val="00865A55"/>
    <w:rsid w:val="0087252C"/>
    <w:rsid w:val="008745B6"/>
    <w:rsid w:val="0088210A"/>
    <w:rsid w:val="008932DD"/>
    <w:rsid w:val="00897B30"/>
    <w:rsid w:val="008A0822"/>
    <w:rsid w:val="008A1F07"/>
    <w:rsid w:val="008A2C97"/>
    <w:rsid w:val="008A3FED"/>
    <w:rsid w:val="008B1ADB"/>
    <w:rsid w:val="008B633F"/>
    <w:rsid w:val="008B709E"/>
    <w:rsid w:val="008B7274"/>
    <w:rsid w:val="008D051C"/>
    <w:rsid w:val="008D1598"/>
    <w:rsid w:val="008D662F"/>
    <w:rsid w:val="008D686C"/>
    <w:rsid w:val="008E679A"/>
    <w:rsid w:val="008F34E9"/>
    <w:rsid w:val="008F5B87"/>
    <w:rsid w:val="00903578"/>
    <w:rsid w:val="00913600"/>
    <w:rsid w:val="00914BE1"/>
    <w:rsid w:val="00914C13"/>
    <w:rsid w:val="00914E94"/>
    <w:rsid w:val="00940717"/>
    <w:rsid w:val="00940EB5"/>
    <w:rsid w:val="00941E94"/>
    <w:rsid w:val="009500AA"/>
    <w:rsid w:val="009509BC"/>
    <w:rsid w:val="009544D1"/>
    <w:rsid w:val="0096694F"/>
    <w:rsid w:val="009670C5"/>
    <w:rsid w:val="0097000C"/>
    <w:rsid w:val="009722C7"/>
    <w:rsid w:val="00974223"/>
    <w:rsid w:val="00976D7C"/>
    <w:rsid w:val="00977E00"/>
    <w:rsid w:val="009859B4"/>
    <w:rsid w:val="009936A2"/>
    <w:rsid w:val="00994887"/>
    <w:rsid w:val="009A5306"/>
    <w:rsid w:val="009A722C"/>
    <w:rsid w:val="009B5212"/>
    <w:rsid w:val="009B5A8A"/>
    <w:rsid w:val="009B5C75"/>
    <w:rsid w:val="009B5D7D"/>
    <w:rsid w:val="009B6297"/>
    <w:rsid w:val="009B672C"/>
    <w:rsid w:val="009B7E10"/>
    <w:rsid w:val="009C18EA"/>
    <w:rsid w:val="009D209A"/>
    <w:rsid w:val="009D491B"/>
    <w:rsid w:val="009E1CAA"/>
    <w:rsid w:val="009E7C28"/>
    <w:rsid w:val="009F05A7"/>
    <w:rsid w:val="009F2587"/>
    <w:rsid w:val="00A014C8"/>
    <w:rsid w:val="00A01D30"/>
    <w:rsid w:val="00A05449"/>
    <w:rsid w:val="00A05E6F"/>
    <w:rsid w:val="00A1403E"/>
    <w:rsid w:val="00A164F4"/>
    <w:rsid w:val="00A2183C"/>
    <w:rsid w:val="00A21B68"/>
    <w:rsid w:val="00A24119"/>
    <w:rsid w:val="00A34A63"/>
    <w:rsid w:val="00A40DD2"/>
    <w:rsid w:val="00A41934"/>
    <w:rsid w:val="00A4518F"/>
    <w:rsid w:val="00A465F2"/>
    <w:rsid w:val="00A56BC5"/>
    <w:rsid w:val="00A72EC3"/>
    <w:rsid w:val="00A75F2B"/>
    <w:rsid w:val="00A80BAA"/>
    <w:rsid w:val="00A816D5"/>
    <w:rsid w:val="00A829A6"/>
    <w:rsid w:val="00A83F53"/>
    <w:rsid w:val="00A86644"/>
    <w:rsid w:val="00A91564"/>
    <w:rsid w:val="00AA136B"/>
    <w:rsid w:val="00AA1FB4"/>
    <w:rsid w:val="00AA7518"/>
    <w:rsid w:val="00AB35AF"/>
    <w:rsid w:val="00AC11E4"/>
    <w:rsid w:val="00AC2150"/>
    <w:rsid w:val="00AC3102"/>
    <w:rsid w:val="00AD10B0"/>
    <w:rsid w:val="00AD3738"/>
    <w:rsid w:val="00AD5574"/>
    <w:rsid w:val="00AD5F53"/>
    <w:rsid w:val="00AE67E2"/>
    <w:rsid w:val="00AF0C0B"/>
    <w:rsid w:val="00AF438A"/>
    <w:rsid w:val="00AF7CC2"/>
    <w:rsid w:val="00B00030"/>
    <w:rsid w:val="00B0146F"/>
    <w:rsid w:val="00B02A39"/>
    <w:rsid w:val="00B059BD"/>
    <w:rsid w:val="00B12741"/>
    <w:rsid w:val="00B16436"/>
    <w:rsid w:val="00B17BC5"/>
    <w:rsid w:val="00B31CE4"/>
    <w:rsid w:val="00B37362"/>
    <w:rsid w:val="00B37FB2"/>
    <w:rsid w:val="00B459A7"/>
    <w:rsid w:val="00B64DE6"/>
    <w:rsid w:val="00B728E9"/>
    <w:rsid w:val="00B7449F"/>
    <w:rsid w:val="00B757B0"/>
    <w:rsid w:val="00B81763"/>
    <w:rsid w:val="00B83B61"/>
    <w:rsid w:val="00B91305"/>
    <w:rsid w:val="00B9518A"/>
    <w:rsid w:val="00BA2348"/>
    <w:rsid w:val="00BA673E"/>
    <w:rsid w:val="00BC1BA2"/>
    <w:rsid w:val="00BC2C89"/>
    <w:rsid w:val="00BC336A"/>
    <w:rsid w:val="00BC63CF"/>
    <w:rsid w:val="00BD2623"/>
    <w:rsid w:val="00BD30CD"/>
    <w:rsid w:val="00BD3B8A"/>
    <w:rsid w:val="00BD49C0"/>
    <w:rsid w:val="00BD641C"/>
    <w:rsid w:val="00BE1019"/>
    <w:rsid w:val="00BE133E"/>
    <w:rsid w:val="00BE48FD"/>
    <w:rsid w:val="00BE66DC"/>
    <w:rsid w:val="00BE68AD"/>
    <w:rsid w:val="00BF05C1"/>
    <w:rsid w:val="00BF0B42"/>
    <w:rsid w:val="00BF48C1"/>
    <w:rsid w:val="00C05763"/>
    <w:rsid w:val="00C07D51"/>
    <w:rsid w:val="00C14FC3"/>
    <w:rsid w:val="00C15201"/>
    <w:rsid w:val="00C35C59"/>
    <w:rsid w:val="00C368B2"/>
    <w:rsid w:val="00C36EF1"/>
    <w:rsid w:val="00C405C2"/>
    <w:rsid w:val="00C406E1"/>
    <w:rsid w:val="00C43003"/>
    <w:rsid w:val="00C4449F"/>
    <w:rsid w:val="00C45A01"/>
    <w:rsid w:val="00C505BD"/>
    <w:rsid w:val="00C54522"/>
    <w:rsid w:val="00C545D0"/>
    <w:rsid w:val="00C63DA5"/>
    <w:rsid w:val="00C7516E"/>
    <w:rsid w:val="00C80592"/>
    <w:rsid w:val="00C83017"/>
    <w:rsid w:val="00C8322B"/>
    <w:rsid w:val="00C87B76"/>
    <w:rsid w:val="00C87BBE"/>
    <w:rsid w:val="00C960FE"/>
    <w:rsid w:val="00CA1AF8"/>
    <w:rsid w:val="00CA4CF7"/>
    <w:rsid w:val="00CB5277"/>
    <w:rsid w:val="00CB5A45"/>
    <w:rsid w:val="00CB62DF"/>
    <w:rsid w:val="00CB642D"/>
    <w:rsid w:val="00CC0D35"/>
    <w:rsid w:val="00CC26DC"/>
    <w:rsid w:val="00CD0EDB"/>
    <w:rsid w:val="00CD5F29"/>
    <w:rsid w:val="00CE0D6C"/>
    <w:rsid w:val="00CE3223"/>
    <w:rsid w:val="00CE5DFA"/>
    <w:rsid w:val="00CF3963"/>
    <w:rsid w:val="00CF4ECD"/>
    <w:rsid w:val="00D01F7D"/>
    <w:rsid w:val="00D043F2"/>
    <w:rsid w:val="00D04C74"/>
    <w:rsid w:val="00D124D4"/>
    <w:rsid w:val="00D14A6B"/>
    <w:rsid w:val="00D16909"/>
    <w:rsid w:val="00D16A60"/>
    <w:rsid w:val="00D16EE9"/>
    <w:rsid w:val="00D21B09"/>
    <w:rsid w:val="00D22B44"/>
    <w:rsid w:val="00D2508C"/>
    <w:rsid w:val="00D258E5"/>
    <w:rsid w:val="00D2601B"/>
    <w:rsid w:val="00D27E6A"/>
    <w:rsid w:val="00D32627"/>
    <w:rsid w:val="00D35DCA"/>
    <w:rsid w:val="00D46679"/>
    <w:rsid w:val="00D47A0F"/>
    <w:rsid w:val="00D531A5"/>
    <w:rsid w:val="00D5621A"/>
    <w:rsid w:val="00D6183B"/>
    <w:rsid w:val="00D703CC"/>
    <w:rsid w:val="00D70E60"/>
    <w:rsid w:val="00D733B1"/>
    <w:rsid w:val="00D75A47"/>
    <w:rsid w:val="00D76561"/>
    <w:rsid w:val="00D84A0D"/>
    <w:rsid w:val="00D86B27"/>
    <w:rsid w:val="00D91886"/>
    <w:rsid w:val="00D93499"/>
    <w:rsid w:val="00DA171F"/>
    <w:rsid w:val="00DA6ADB"/>
    <w:rsid w:val="00DB07C9"/>
    <w:rsid w:val="00DB1B75"/>
    <w:rsid w:val="00DB225C"/>
    <w:rsid w:val="00DB4718"/>
    <w:rsid w:val="00DB4731"/>
    <w:rsid w:val="00DB50AB"/>
    <w:rsid w:val="00DB5B93"/>
    <w:rsid w:val="00DC7525"/>
    <w:rsid w:val="00DE1221"/>
    <w:rsid w:val="00DE14AA"/>
    <w:rsid w:val="00DE53D5"/>
    <w:rsid w:val="00DE57DA"/>
    <w:rsid w:val="00DF3ACE"/>
    <w:rsid w:val="00DF5248"/>
    <w:rsid w:val="00E021AB"/>
    <w:rsid w:val="00E03723"/>
    <w:rsid w:val="00E04B3D"/>
    <w:rsid w:val="00E150E5"/>
    <w:rsid w:val="00E15DB6"/>
    <w:rsid w:val="00E21209"/>
    <w:rsid w:val="00E21FAB"/>
    <w:rsid w:val="00E2404E"/>
    <w:rsid w:val="00E34BCF"/>
    <w:rsid w:val="00E36477"/>
    <w:rsid w:val="00E366ED"/>
    <w:rsid w:val="00E37456"/>
    <w:rsid w:val="00E60CDD"/>
    <w:rsid w:val="00E61F5C"/>
    <w:rsid w:val="00E62AE0"/>
    <w:rsid w:val="00E64CAD"/>
    <w:rsid w:val="00E65F0E"/>
    <w:rsid w:val="00E7022E"/>
    <w:rsid w:val="00E76C4E"/>
    <w:rsid w:val="00E83C95"/>
    <w:rsid w:val="00E84B03"/>
    <w:rsid w:val="00E90F72"/>
    <w:rsid w:val="00E923B9"/>
    <w:rsid w:val="00EA1950"/>
    <w:rsid w:val="00EB4D6D"/>
    <w:rsid w:val="00EC7698"/>
    <w:rsid w:val="00ED188C"/>
    <w:rsid w:val="00ED68C5"/>
    <w:rsid w:val="00EF13E2"/>
    <w:rsid w:val="00EF6E3A"/>
    <w:rsid w:val="00F00B3A"/>
    <w:rsid w:val="00F01BEB"/>
    <w:rsid w:val="00F073A4"/>
    <w:rsid w:val="00F07AA1"/>
    <w:rsid w:val="00F14684"/>
    <w:rsid w:val="00F15024"/>
    <w:rsid w:val="00F23105"/>
    <w:rsid w:val="00F30396"/>
    <w:rsid w:val="00F327ED"/>
    <w:rsid w:val="00F3615B"/>
    <w:rsid w:val="00F420C8"/>
    <w:rsid w:val="00F50DB4"/>
    <w:rsid w:val="00F52282"/>
    <w:rsid w:val="00F53454"/>
    <w:rsid w:val="00F53BF1"/>
    <w:rsid w:val="00F54038"/>
    <w:rsid w:val="00F57A3B"/>
    <w:rsid w:val="00F73315"/>
    <w:rsid w:val="00F76DFD"/>
    <w:rsid w:val="00F832AF"/>
    <w:rsid w:val="00F83589"/>
    <w:rsid w:val="00F837FB"/>
    <w:rsid w:val="00F8423A"/>
    <w:rsid w:val="00F84A6F"/>
    <w:rsid w:val="00F85A93"/>
    <w:rsid w:val="00F9682D"/>
    <w:rsid w:val="00F96FA2"/>
    <w:rsid w:val="00FA0C52"/>
    <w:rsid w:val="00FA135D"/>
    <w:rsid w:val="00FA55FB"/>
    <w:rsid w:val="00FA6388"/>
    <w:rsid w:val="00FC0DD0"/>
    <w:rsid w:val="00FC59BF"/>
    <w:rsid w:val="00FC59EB"/>
    <w:rsid w:val="00FC6778"/>
    <w:rsid w:val="00FD11D1"/>
    <w:rsid w:val="00FD1CFF"/>
    <w:rsid w:val="00FD43C0"/>
    <w:rsid w:val="00FD69E8"/>
    <w:rsid w:val="00FD6BAA"/>
    <w:rsid w:val="00FD70F0"/>
    <w:rsid w:val="00FE1D50"/>
    <w:rsid w:val="00FF0A73"/>
    <w:rsid w:val="00FF455E"/>
    <w:rsid w:val="00FF7CBC"/>
    <w:rsid w:val="E6DD38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7"/>
    <w:qFormat/>
    <w:uiPriority w:val="9"/>
    <w:pPr>
      <w:keepNext/>
      <w:keepLines/>
      <w:widowControl w:val="0"/>
      <w:jc w:val="center"/>
      <w:outlineLvl w:val="0"/>
    </w:pPr>
    <w:rPr>
      <w:rFonts w:eastAsia="黑体"/>
      <w:b/>
      <w:bCs/>
      <w:kern w:val="44"/>
      <w:sz w:val="32"/>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style>
  <w:style w:type="paragraph" w:styleId="4">
    <w:name w:val="Date"/>
    <w:basedOn w:val="1"/>
    <w:next w:val="1"/>
    <w:link w:val="25"/>
    <w:semiHidden/>
    <w:unhideWhenUsed/>
    <w:qFormat/>
    <w:uiPriority w:val="99"/>
    <w:pPr>
      <w:ind w:left="100" w:leftChars="2500"/>
    </w:p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7"/>
    <w:unhideWhenUsed/>
    <w:qFormat/>
    <w:uiPriority w:val="0"/>
    <w:pPr>
      <w:widowControl w:val="0"/>
      <w:snapToGrid w:val="0"/>
    </w:pPr>
    <w:rPr>
      <w:rFonts w:ascii="Times New Roman" w:hAnsi="Times New Roman" w:eastAsia="宋体" w:cs="Times New Roman"/>
      <w:sz w:val="18"/>
      <w:szCs w:val="18"/>
    </w:rPr>
  </w:style>
  <w:style w:type="paragraph" w:styleId="9">
    <w:name w:val="HTML Preformatted"/>
    <w:basedOn w:val="1"/>
    <w:link w:val="2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kern w:val="0"/>
      <w:sz w:val="20"/>
      <w:szCs w:val="20"/>
    </w:rPr>
  </w:style>
  <w:style w:type="paragraph" w:styleId="10">
    <w:name w:val="annotation subject"/>
    <w:basedOn w:val="3"/>
    <w:next w:val="3"/>
    <w:link w:val="24"/>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semiHidden/>
    <w:unhideWhenUsed/>
    <w:qFormat/>
    <w:uiPriority w:val="99"/>
  </w:style>
  <w:style w:type="character" w:styleId="15">
    <w:name w:val="annotation reference"/>
    <w:basedOn w:val="13"/>
    <w:semiHidden/>
    <w:unhideWhenUsed/>
    <w:qFormat/>
    <w:uiPriority w:val="99"/>
    <w:rPr>
      <w:sz w:val="21"/>
      <w:szCs w:val="21"/>
    </w:rPr>
  </w:style>
  <w:style w:type="character" w:styleId="16">
    <w:name w:val="footnote reference"/>
    <w:basedOn w:val="13"/>
    <w:semiHidden/>
    <w:unhideWhenUsed/>
    <w:qFormat/>
    <w:uiPriority w:val="0"/>
    <w:rPr>
      <w:vertAlign w:val="superscript"/>
    </w:rPr>
  </w:style>
  <w:style w:type="character" w:customStyle="1" w:styleId="17">
    <w:name w:val="脚注文本 Char"/>
    <w:basedOn w:val="13"/>
    <w:link w:val="8"/>
    <w:qFormat/>
    <w:uiPriority w:val="0"/>
    <w:rPr>
      <w:rFonts w:ascii="Times New Roman" w:hAnsi="Times New Roman" w:eastAsia="宋体" w:cs="Times New Roman"/>
      <w:sz w:val="18"/>
      <w:szCs w:val="18"/>
    </w:rPr>
  </w:style>
  <w:style w:type="character" w:customStyle="1" w:styleId="18">
    <w:name w:val="页眉 Char"/>
    <w:basedOn w:val="13"/>
    <w:link w:val="7"/>
    <w:qFormat/>
    <w:uiPriority w:val="99"/>
    <w:rPr>
      <w:sz w:val="18"/>
      <w:szCs w:val="18"/>
    </w:rPr>
  </w:style>
  <w:style w:type="character" w:customStyle="1" w:styleId="19">
    <w:name w:val="页脚 Char"/>
    <w:basedOn w:val="13"/>
    <w:link w:val="6"/>
    <w:qFormat/>
    <w:uiPriority w:val="99"/>
    <w:rPr>
      <w:sz w:val="18"/>
      <w:szCs w:val="18"/>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3">
    <w:name w:val="批注文字 Char"/>
    <w:basedOn w:val="13"/>
    <w:link w:val="3"/>
    <w:semiHidden/>
    <w:qFormat/>
    <w:uiPriority w:val="99"/>
    <w:rPr>
      <w:szCs w:val="24"/>
    </w:rPr>
  </w:style>
  <w:style w:type="character" w:customStyle="1" w:styleId="24">
    <w:name w:val="批注主题 Char"/>
    <w:basedOn w:val="23"/>
    <w:link w:val="10"/>
    <w:semiHidden/>
    <w:qFormat/>
    <w:uiPriority w:val="99"/>
    <w:rPr>
      <w:b/>
      <w:bCs/>
      <w:szCs w:val="24"/>
    </w:rPr>
  </w:style>
  <w:style w:type="character" w:customStyle="1" w:styleId="25">
    <w:name w:val="日期 Char"/>
    <w:basedOn w:val="13"/>
    <w:link w:val="4"/>
    <w:semiHidden/>
    <w:qFormat/>
    <w:uiPriority w:val="99"/>
    <w:rPr>
      <w:szCs w:val="24"/>
    </w:rPr>
  </w:style>
  <w:style w:type="character" w:customStyle="1" w:styleId="26">
    <w:name w:val="HTML 预设格式 Char"/>
    <w:basedOn w:val="13"/>
    <w:link w:val="9"/>
    <w:qFormat/>
    <w:uiPriority w:val="99"/>
    <w:rPr>
      <w:rFonts w:ascii="Courier" w:hAnsi="Courier" w:cs="Courier"/>
      <w:kern w:val="0"/>
      <w:sz w:val="20"/>
      <w:szCs w:val="20"/>
    </w:rPr>
  </w:style>
  <w:style w:type="character" w:customStyle="1" w:styleId="27">
    <w:name w:val="标题 1 Char"/>
    <w:basedOn w:val="13"/>
    <w:link w:val="2"/>
    <w:qFormat/>
    <w:uiPriority w:val="9"/>
    <w:rPr>
      <w:rFonts w:eastAsia="黑体"/>
      <w:b/>
      <w:bCs/>
      <w:kern w:val="44"/>
      <w:sz w:val="32"/>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278</Words>
  <Characters>1589</Characters>
  <Lines>13</Lines>
  <Paragraphs>3</Paragraphs>
  <TotalTime>176</TotalTime>
  <ScaleCrop>false</ScaleCrop>
  <LinksUpToDate>false</LinksUpToDate>
  <CharactersWithSpaces>1864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2021-02-08T22:25:00Z</dcterms:created>
  <dc:creator>June Lee</dc:creator>
  <cp:lastModifiedBy>lenovo</cp:lastModifiedBy>
  <cp:lastPrinted>2021-01-12T14:15:00Z</cp:lastPrinted>
  <dcterms:modified xsi:type="dcterms:W3CDTF">2022-08-29T14:42:42Z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