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spacing w:line="600" w:lineRule="exact"/>
        <w:contextualSpacing/>
        <w:rPr>
          <w:rFonts w:ascii="仿宋_GB2312" w:eastAsia="仿宋_GB2312"/>
          <w:sz w:val="32"/>
          <w:szCs w:val="32"/>
        </w:rPr>
      </w:pPr>
      <w:r>
        <w:rPr>
          <w:rFonts w:hint="eastAsia" w:ascii="仿宋_GB2312" w:eastAsia="仿宋_GB2312"/>
          <w:sz w:val="32"/>
          <w:szCs w:val="32"/>
        </w:rPr>
        <w:t>附件：</w:t>
      </w:r>
    </w:p>
    <w:p>
      <w:pPr>
        <w:pStyle w:val="4"/>
        <w:shd w:val="clear" w:color="auto" w:fill="FFFFFF"/>
        <w:spacing w:before="0" w:beforeAutospacing="0" w:after="0" w:afterAutospacing="0" w:line="600" w:lineRule="exact"/>
        <w:jc w:val="center"/>
        <w:rPr>
          <w:rFonts w:ascii="方正小标宋简体" w:eastAsia="方正小标宋简体"/>
          <w:bCs/>
          <w:color w:val="333333"/>
          <w:sz w:val="36"/>
          <w:szCs w:val="36"/>
        </w:rPr>
      </w:pPr>
    </w:p>
    <w:p>
      <w:pPr>
        <w:pStyle w:val="4"/>
        <w:shd w:val="clear" w:color="auto" w:fill="FFFFFF"/>
        <w:spacing w:before="0" w:beforeAutospacing="0" w:after="0" w:afterAutospacing="0" w:line="600" w:lineRule="exact"/>
        <w:jc w:val="center"/>
        <w:rPr>
          <w:rFonts w:ascii="方正小标宋简体" w:eastAsia="方正小标宋简体"/>
          <w:color w:val="333333"/>
          <w:sz w:val="36"/>
          <w:szCs w:val="36"/>
        </w:rPr>
      </w:pPr>
      <w:r>
        <w:rPr>
          <w:rFonts w:hint="eastAsia" w:ascii="方正小标宋简体" w:eastAsia="方正小标宋简体"/>
          <w:bCs/>
          <w:color w:val="333333"/>
          <w:sz w:val="36"/>
          <w:szCs w:val="36"/>
        </w:rPr>
        <w:t>旅游景区恢复开放疫情防控措施指南</w:t>
      </w:r>
      <w:r>
        <w:rPr>
          <w:rFonts w:hint="eastAsia" w:eastAsia="方正小标宋简体"/>
          <w:bCs/>
          <w:color w:val="333333"/>
          <w:sz w:val="36"/>
          <w:szCs w:val="36"/>
        </w:rPr>
        <w:t> </w:t>
      </w:r>
    </w:p>
    <w:p>
      <w:pPr>
        <w:pStyle w:val="4"/>
        <w:shd w:val="clear" w:color="auto" w:fill="FFFFFF"/>
        <w:tabs>
          <w:tab w:val="left" w:pos="1938"/>
          <w:tab w:val="center" w:pos="4213"/>
        </w:tabs>
        <w:spacing w:before="0" w:beforeAutospacing="0" w:after="0" w:afterAutospacing="0" w:line="600" w:lineRule="exact"/>
        <w:jc w:val="left"/>
        <w:rPr>
          <w:rFonts w:ascii="方正小标宋简体" w:eastAsia="方正小标宋简体"/>
          <w:color w:val="333333"/>
          <w:sz w:val="36"/>
          <w:szCs w:val="36"/>
        </w:rPr>
      </w:pPr>
      <w:r>
        <w:rPr>
          <w:rFonts w:hint="eastAsia" w:ascii="方正小标宋简体" w:eastAsia="方正小标宋简体"/>
          <w:bCs/>
          <w:color w:val="333333"/>
          <w:sz w:val="36"/>
          <w:szCs w:val="36"/>
          <w:lang w:eastAsia="zh-CN"/>
        </w:rPr>
        <w:tab/>
      </w:r>
      <w:bookmarkStart w:id="0" w:name="_GoBack"/>
      <w:bookmarkEnd w:id="0"/>
      <w:r>
        <w:rPr>
          <w:rFonts w:hint="eastAsia" w:ascii="方正小标宋简体" w:eastAsia="方正小标宋简体"/>
          <w:bCs/>
          <w:color w:val="333333"/>
          <w:sz w:val="36"/>
          <w:szCs w:val="36"/>
          <w:lang w:eastAsia="zh-CN"/>
        </w:rPr>
        <w:tab/>
      </w:r>
      <w:r>
        <w:rPr>
          <w:rFonts w:hint="eastAsia" w:ascii="方正小标宋简体" w:eastAsia="方正小标宋简体"/>
          <w:bCs/>
          <w:color w:val="333333"/>
          <w:sz w:val="36"/>
          <w:szCs w:val="36"/>
        </w:rPr>
        <w:t>（2021年3月修订版）</w:t>
      </w:r>
      <w:r>
        <w:rPr>
          <w:rFonts w:hint="eastAsia" w:eastAsia="方正小标宋简体"/>
          <w:color w:val="333333"/>
          <w:sz w:val="36"/>
          <w:szCs w:val="36"/>
        </w:rPr>
        <w:t> </w:t>
      </w:r>
    </w:p>
    <w:p>
      <w:pPr>
        <w:pStyle w:val="4"/>
        <w:shd w:val="clear" w:color="auto" w:fill="FFFFFF"/>
        <w:spacing w:before="0" w:beforeAutospacing="0" w:after="0" w:afterAutospacing="0" w:line="600" w:lineRule="exact"/>
        <w:rPr>
          <w:rFonts w:ascii="仿宋_GB2312" w:eastAsia="仿宋_GB2312"/>
          <w:color w:val="333333"/>
          <w:sz w:val="32"/>
          <w:szCs w:val="32"/>
        </w:rPr>
      </w:pPr>
      <w:r>
        <w:rPr>
          <w:rFonts w:hint="eastAsia" w:ascii="仿宋_GB2312" w:eastAsia="仿宋_GB2312"/>
          <w:color w:val="333333"/>
          <w:sz w:val="32"/>
          <w:szCs w:val="32"/>
        </w:rPr>
        <w:t>　　</w:t>
      </w:r>
      <w:r>
        <w:rPr>
          <w:rFonts w:hint="eastAsia" w:eastAsia="仿宋_GB2312"/>
          <w:color w:val="333333"/>
          <w:sz w:val="32"/>
          <w:szCs w:val="32"/>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rPr>
      </w:pPr>
      <w:r>
        <w:rPr>
          <w:rFonts w:hint="eastAsia" w:ascii="仿宋_GB2312" w:eastAsia="仿宋_GB2312"/>
          <w:color w:val="333333"/>
          <w:sz w:val="32"/>
          <w:szCs w:val="32"/>
        </w:rPr>
        <w:t>　</w:t>
      </w:r>
      <w:r>
        <w:rPr>
          <w:rFonts w:hint="eastAsia" w:ascii="仿宋_GB2312" w:eastAsia="仿宋_GB2312"/>
          <w:color w:val="000000" w:themeColor="text1"/>
          <w:sz w:val="32"/>
          <w:szCs w:val="32"/>
        </w:rPr>
        <w:t>　为更好统筹疫情防控和经济社会发展，继续毫不放松做好外防输入、内防反弹工作，扎实做好“六稳”工作、全面落实“六保”任务，指导全国旅游景区继续实施疫情防控、稳步做好开放管理，制定本指南。</w:t>
      </w:r>
      <w:r>
        <w:rPr>
          <w:rFonts w:hint="eastAsia" w:eastAsia="仿宋_GB2312"/>
          <w:color w:val="000000" w:themeColor="text1"/>
          <w:sz w:val="32"/>
          <w:szCs w:val="32"/>
        </w:rPr>
        <w:t> </w:t>
      </w:r>
    </w:p>
    <w:p>
      <w:pPr>
        <w:pStyle w:val="4"/>
        <w:shd w:val="clear" w:color="auto" w:fill="FFFFFF"/>
        <w:spacing w:before="0" w:beforeAutospacing="0" w:after="0" w:afterAutospacing="0" w:line="600" w:lineRule="exact"/>
        <w:rPr>
          <w:rFonts w:ascii="黑体" w:hAnsi="黑体" w:eastAsia="黑体"/>
          <w:color w:val="000000" w:themeColor="text1"/>
          <w:sz w:val="32"/>
          <w:szCs w:val="32"/>
        </w:rPr>
      </w:pPr>
      <w:r>
        <w:rPr>
          <w:rFonts w:hint="eastAsia" w:ascii="黑体" w:hAnsi="黑体" w:eastAsia="黑体"/>
          <w:color w:val="000000" w:themeColor="text1"/>
          <w:sz w:val="32"/>
          <w:szCs w:val="32"/>
        </w:rPr>
        <w:t>　　一、景区开放总体要求</w:t>
      </w:r>
      <w:r>
        <w:rPr>
          <w:rFonts w:hint="eastAsia" w:eastAsia="黑体"/>
          <w:color w:val="000000" w:themeColor="text1"/>
          <w:sz w:val="32"/>
          <w:szCs w:val="32"/>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w:t>
      </w:r>
      <w:r>
        <w:rPr>
          <w:rFonts w:hint="eastAsia" w:ascii="楷体_GB2312" w:eastAsia="楷体_GB2312"/>
          <w:color w:val="000000" w:themeColor="text1"/>
          <w:sz w:val="32"/>
          <w:szCs w:val="32"/>
        </w:rPr>
        <w:t>（一）坚持常态防控。</w:t>
      </w:r>
      <w:r>
        <w:rPr>
          <w:rFonts w:hint="eastAsia" w:ascii="仿宋_GB2312" w:eastAsia="仿宋_GB2312"/>
          <w:color w:val="000000" w:themeColor="text1"/>
          <w:sz w:val="32"/>
          <w:szCs w:val="32"/>
        </w:rPr>
        <w:t>各地要坚决克服麻痹思想、侥幸心理、松劲心态，抓紧抓实抓细旅游景区常态化疫情防控工作。进一步健全疫情防控应急机制，明确旅游景区主要负责人是景区疫情防控的第一责任人，要把防控责任落实到部门和个人，确保各项措施执行到位。</w:t>
      </w:r>
      <w:r>
        <w:rPr>
          <w:rFonts w:hint="eastAsia" w:eastAsia="仿宋_GB2312"/>
          <w:color w:val="000000" w:themeColor="text1"/>
          <w:sz w:val="32"/>
          <w:szCs w:val="32"/>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w:t>
      </w:r>
      <w:r>
        <w:rPr>
          <w:rFonts w:hint="eastAsia" w:ascii="楷体_GB2312" w:eastAsia="楷体_GB2312"/>
          <w:color w:val="000000" w:themeColor="text1"/>
          <w:sz w:val="32"/>
          <w:szCs w:val="32"/>
        </w:rPr>
        <w:t>（二）坚持科学防控。</w:t>
      </w:r>
      <w:r>
        <w:rPr>
          <w:rFonts w:hint="eastAsia" w:ascii="仿宋_GB2312" w:eastAsia="仿宋_GB2312"/>
          <w:color w:val="000000" w:themeColor="text1"/>
          <w:sz w:val="32"/>
          <w:szCs w:val="32"/>
        </w:rPr>
        <w:t>按照外防输入、内防反弹的要求，对旅游景区开放承载量和接待能力进行全面评估。地方新冠肺炎疫情防控风险等级和应急响应级别作出调整的，应当按照属地党委、政府要求，科学动态调整防控策略和措施。旅游景区游客接待上限由各省（区、市）党委、政府根据当地疫情防控形势确定，不搞“一刀切”。</w:t>
      </w:r>
      <w:r>
        <w:rPr>
          <w:rFonts w:hint="eastAsia" w:eastAsia="仿宋_GB2312"/>
          <w:color w:val="000000" w:themeColor="text1"/>
          <w:sz w:val="32"/>
          <w:szCs w:val="32"/>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w:t>
      </w:r>
      <w:r>
        <w:rPr>
          <w:rFonts w:hint="eastAsia" w:ascii="楷体_GB2312" w:eastAsia="楷体_GB2312"/>
          <w:color w:val="000000" w:themeColor="text1"/>
          <w:sz w:val="32"/>
          <w:szCs w:val="32"/>
        </w:rPr>
        <w:t>（三）坚持精准防控。</w:t>
      </w:r>
      <w:r>
        <w:rPr>
          <w:rFonts w:hint="eastAsia" w:ascii="仿宋_GB2312" w:eastAsia="仿宋_GB2312"/>
          <w:color w:val="000000" w:themeColor="text1"/>
          <w:sz w:val="32"/>
          <w:szCs w:val="32"/>
        </w:rPr>
        <w:t>要抓好重点区域和关键环节防控，补上短板漏洞。继续面向公众主动做好常态化疫情防控、预约旅游、厉行节约等宣传引导，强化公众疫情防控意识，培育文明旅游、预约旅游和节约粮食的良好习惯。</w:t>
      </w:r>
      <w:r>
        <w:rPr>
          <w:rFonts w:hint="eastAsia" w:eastAsia="仿宋_GB2312"/>
          <w:color w:val="000000" w:themeColor="text1"/>
          <w:sz w:val="32"/>
          <w:szCs w:val="32"/>
        </w:rPr>
        <w:t> </w:t>
      </w:r>
    </w:p>
    <w:p>
      <w:pPr>
        <w:pStyle w:val="4"/>
        <w:shd w:val="clear" w:color="auto" w:fill="FFFFFF"/>
        <w:spacing w:before="0" w:beforeAutospacing="0" w:after="0" w:afterAutospacing="0" w:line="600" w:lineRule="exact"/>
        <w:rPr>
          <w:rFonts w:ascii="黑体" w:hAnsi="黑体" w:eastAsia="黑体"/>
          <w:color w:val="000000" w:themeColor="text1"/>
          <w:sz w:val="32"/>
          <w:szCs w:val="32"/>
        </w:rPr>
      </w:pPr>
      <w:r>
        <w:rPr>
          <w:rFonts w:hint="eastAsia" w:ascii="黑体" w:hAnsi="黑体" w:eastAsia="黑体"/>
          <w:color w:val="000000" w:themeColor="text1"/>
          <w:sz w:val="32"/>
          <w:szCs w:val="32"/>
        </w:rPr>
        <w:t>　　二、加强景区员工健康监测和管理</w:t>
      </w:r>
      <w:r>
        <w:rPr>
          <w:rFonts w:hint="eastAsia" w:eastAsia="黑体"/>
          <w:color w:val="000000" w:themeColor="text1"/>
          <w:sz w:val="32"/>
          <w:szCs w:val="32"/>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w:t>
      </w:r>
      <w:r>
        <w:rPr>
          <w:rFonts w:hint="eastAsia" w:ascii="楷体_GB2312" w:eastAsia="楷体_GB2312"/>
          <w:color w:val="000000" w:themeColor="text1"/>
          <w:sz w:val="32"/>
          <w:szCs w:val="32"/>
        </w:rPr>
        <w:t>　（四）做好员工健康监测和报告。</w:t>
      </w:r>
      <w:r>
        <w:rPr>
          <w:rFonts w:hint="eastAsia" w:ascii="仿宋_GB2312" w:eastAsia="仿宋_GB2312"/>
          <w:color w:val="000000" w:themeColor="text1"/>
          <w:sz w:val="32"/>
          <w:szCs w:val="32"/>
        </w:rPr>
        <w:t>应按照属地要求做好员工健康管理。要关心关爱员工身心健康，及时做好疏解疏导，出现异常情况要及时报告。</w:t>
      </w:r>
      <w:r>
        <w:rPr>
          <w:rFonts w:hint="eastAsia" w:eastAsia="仿宋_GB2312"/>
          <w:color w:val="000000" w:themeColor="text1"/>
          <w:sz w:val="32"/>
          <w:szCs w:val="32"/>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w:t>
      </w:r>
      <w:r>
        <w:rPr>
          <w:rFonts w:hint="eastAsia" w:ascii="楷体_GB2312" w:eastAsia="楷体_GB2312"/>
          <w:color w:val="000000" w:themeColor="text1"/>
          <w:sz w:val="32"/>
          <w:szCs w:val="32"/>
        </w:rPr>
        <w:t>（五）强化疫情防控培训。</w:t>
      </w:r>
      <w:r>
        <w:rPr>
          <w:rFonts w:hint="eastAsia" w:ascii="仿宋_GB2312" w:eastAsia="仿宋_GB2312"/>
          <w:color w:val="000000" w:themeColor="text1"/>
          <w:sz w:val="32"/>
          <w:szCs w:val="32"/>
        </w:rPr>
        <w:t>加强对员工开展传染病预防知识、突发事件应急处置等事项的培训，确保员工上岗前具备必须的防控知识，提高员工对出现异常情况的敏感度和处置能力。</w:t>
      </w:r>
      <w:r>
        <w:rPr>
          <w:rFonts w:hint="eastAsia" w:eastAsia="仿宋_GB2312"/>
          <w:color w:val="000000" w:themeColor="text1"/>
          <w:sz w:val="32"/>
          <w:szCs w:val="32"/>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w:t>
      </w:r>
      <w:r>
        <w:rPr>
          <w:rFonts w:hint="eastAsia" w:ascii="楷体_GB2312" w:eastAsia="楷体_GB2312"/>
          <w:color w:val="000000" w:themeColor="text1"/>
          <w:sz w:val="32"/>
          <w:szCs w:val="32"/>
        </w:rPr>
        <w:t>　（六）严格上岗工作规范。</w:t>
      </w:r>
      <w:r>
        <w:rPr>
          <w:rFonts w:hint="eastAsia" w:ascii="仿宋_GB2312" w:eastAsia="仿宋_GB2312"/>
          <w:color w:val="000000" w:themeColor="text1"/>
          <w:sz w:val="32"/>
          <w:szCs w:val="32"/>
        </w:rPr>
        <w:t>应按照属地疫情防控相关要求，做好个人防护，减少人员聚集。</w:t>
      </w:r>
      <w:r>
        <w:rPr>
          <w:rFonts w:hint="eastAsia" w:eastAsia="仿宋_GB2312"/>
          <w:color w:val="000000" w:themeColor="text1"/>
          <w:sz w:val="32"/>
          <w:szCs w:val="32"/>
        </w:rPr>
        <w:t> </w:t>
      </w:r>
    </w:p>
    <w:p>
      <w:pPr>
        <w:pStyle w:val="4"/>
        <w:shd w:val="clear" w:color="auto" w:fill="FFFFFF"/>
        <w:spacing w:before="0" w:beforeAutospacing="0" w:after="0" w:afterAutospacing="0" w:line="600" w:lineRule="exact"/>
        <w:rPr>
          <w:rFonts w:ascii="黑体" w:hAnsi="黑体" w:eastAsia="黑体"/>
          <w:color w:val="000000" w:themeColor="text1"/>
          <w:sz w:val="32"/>
          <w:szCs w:val="32"/>
        </w:rPr>
      </w:pPr>
      <w:r>
        <w:rPr>
          <w:rFonts w:hint="eastAsia" w:ascii="黑体" w:hAnsi="黑体" w:eastAsia="黑体"/>
          <w:color w:val="000000" w:themeColor="text1"/>
          <w:sz w:val="32"/>
          <w:szCs w:val="32"/>
        </w:rPr>
        <w:t>　　三、做好景区公共卫生和场所防控</w:t>
      </w:r>
      <w:r>
        <w:rPr>
          <w:rFonts w:hint="eastAsia" w:eastAsia="黑体"/>
          <w:color w:val="000000" w:themeColor="text1"/>
          <w:sz w:val="32"/>
          <w:szCs w:val="32"/>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w:t>
      </w:r>
      <w:r>
        <w:rPr>
          <w:rFonts w:hint="eastAsia" w:ascii="楷体_GB2312" w:eastAsia="楷体_GB2312"/>
          <w:color w:val="000000" w:themeColor="text1"/>
          <w:sz w:val="32"/>
          <w:szCs w:val="32"/>
        </w:rPr>
        <w:t>　（七）加强清洁消毒。</w:t>
      </w:r>
      <w:r>
        <w:rPr>
          <w:rFonts w:hint="eastAsia" w:ascii="仿宋_GB2312" w:eastAsia="仿宋_GB2312"/>
          <w:color w:val="000000" w:themeColor="text1"/>
          <w:sz w:val="32"/>
          <w:szCs w:val="32"/>
        </w:rPr>
        <w:t>应及时对景区密闭建筑、公共场所、卫生设施、游乐设备、餐饮场所等进行通风换气、清洁消毒。景区内洗手、喷淋等设施应保持正常运行。做好景区垃圾分类处理。</w:t>
      </w:r>
      <w:r>
        <w:rPr>
          <w:rFonts w:hint="eastAsia" w:eastAsia="仿宋_GB2312"/>
          <w:color w:val="000000" w:themeColor="text1"/>
          <w:sz w:val="32"/>
          <w:szCs w:val="32"/>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w:t>
      </w:r>
      <w:r>
        <w:rPr>
          <w:rFonts w:hint="eastAsia" w:ascii="楷体_GB2312" w:eastAsia="楷体_GB2312"/>
          <w:color w:val="000000" w:themeColor="text1"/>
          <w:sz w:val="32"/>
          <w:szCs w:val="32"/>
        </w:rPr>
        <w:t>（八）强化重点环节管理。</w:t>
      </w:r>
      <w:r>
        <w:rPr>
          <w:rFonts w:hint="eastAsia" w:ascii="仿宋_GB2312" w:eastAsia="仿宋_GB2312"/>
          <w:color w:val="000000" w:themeColor="text1"/>
          <w:sz w:val="32"/>
          <w:szCs w:val="32"/>
        </w:rPr>
        <w:t>各景区应根据实际，结合区域功能和项目类型，加强对重点场所、重点设施的精准防控，对容易形成人员聚集的项目和场所，要强化局部卫生管理和防控措施。</w:t>
      </w:r>
      <w:r>
        <w:rPr>
          <w:rFonts w:hint="eastAsia" w:eastAsia="仿宋_GB2312"/>
          <w:color w:val="000000" w:themeColor="text1"/>
          <w:sz w:val="32"/>
          <w:szCs w:val="32"/>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w:t>
      </w:r>
      <w:r>
        <w:rPr>
          <w:rFonts w:hint="eastAsia" w:ascii="楷体_GB2312" w:eastAsia="楷体_GB2312"/>
          <w:color w:val="000000" w:themeColor="text1"/>
          <w:sz w:val="32"/>
          <w:szCs w:val="32"/>
        </w:rPr>
        <w:t>（九）做好安全保障。</w:t>
      </w:r>
      <w:r>
        <w:rPr>
          <w:rFonts w:hint="eastAsia" w:ascii="仿宋_GB2312" w:eastAsia="仿宋_GB2312"/>
          <w:color w:val="000000" w:themeColor="text1"/>
          <w:sz w:val="32"/>
          <w:szCs w:val="32"/>
        </w:rPr>
        <w:t>要做好医务服务，有条件的景区要准备必要的药物和防护物资，不具备条件的应当与医疗机构建立联系。要确保设备安全，应对景区交通和设施设备进行安全检查，确保符合恢复运营条件和安全管理要求。</w:t>
      </w:r>
      <w:r>
        <w:rPr>
          <w:rFonts w:hint="eastAsia" w:eastAsia="仿宋_GB2312"/>
          <w:color w:val="000000" w:themeColor="text1"/>
          <w:sz w:val="32"/>
          <w:szCs w:val="32"/>
        </w:rPr>
        <w:t> </w:t>
      </w:r>
    </w:p>
    <w:p>
      <w:pPr>
        <w:pStyle w:val="4"/>
        <w:shd w:val="clear" w:color="auto" w:fill="FFFFFF"/>
        <w:spacing w:before="0" w:beforeAutospacing="0" w:after="0" w:afterAutospacing="0" w:line="600" w:lineRule="exact"/>
        <w:rPr>
          <w:rFonts w:ascii="黑体" w:hAnsi="黑体" w:eastAsia="黑体"/>
          <w:color w:val="000000" w:themeColor="text1"/>
          <w:sz w:val="32"/>
          <w:szCs w:val="32"/>
        </w:rPr>
      </w:pPr>
      <w:r>
        <w:rPr>
          <w:rFonts w:hint="eastAsia" w:ascii="黑体" w:hAnsi="黑体" w:eastAsia="黑体"/>
          <w:color w:val="000000" w:themeColor="text1"/>
          <w:sz w:val="32"/>
          <w:szCs w:val="32"/>
        </w:rPr>
        <w:t>　　四、强化景区游览管理</w:t>
      </w:r>
      <w:r>
        <w:rPr>
          <w:rFonts w:hint="eastAsia" w:eastAsia="黑体"/>
          <w:color w:val="000000" w:themeColor="text1"/>
          <w:sz w:val="32"/>
          <w:szCs w:val="32"/>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w:t>
      </w:r>
      <w:r>
        <w:rPr>
          <w:rFonts w:hint="eastAsia" w:ascii="楷体_GB2312" w:eastAsia="楷体_GB2312"/>
          <w:color w:val="000000" w:themeColor="text1"/>
          <w:sz w:val="32"/>
          <w:szCs w:val="32"/>
        </w:rPr>
        <w:t>（十）加强流量管理。</w:t>
      </w:r>
      <w:r>
        <w:rPr>
          <w:rFonts w:hint="eastAsia" w:ascii="仿宋_GB2312" w:eastAsia="仿宋_GB2312"/>
          <w:color w:val="000000" w:themeColor="text1"/>
          <w:sz w:val="32"/>
          <w:szCs w:val="32"/>
        </w:rPr>
        <w:t>景区要科学合理设置游客接待上限。要严格落实门票预约制度，有效采取智慧引导等手段，科学分流疏导游客，做好游客流量关口前置管控。</w:t>
      </w:r>
      <w:r>
        <w:rPr>
          <w:rFonts w:hint="eastAsia" w:eastAsia="仿宋_GB2312"/>
          <w:color w:val="000000" w:themeColor="text1"/>
          <w:sz w:val="32"/>
          <w:szCs w:val="32"/>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w:t>
      </w:r>
      <w:r>
        <w:rPr>
          <w:rFonts w:hint="eastAsia" w:ascii="楷体_GB2312" w:eastAsia="楷体_GB2312"/>
          <w:color w:val="000000" w:themeColor="text1"/>
          <w:sz w:val="32"/>
          <w:szCs w:val="32"/>
        </w:rPr>
        <w:t>（十一）落实实名登记。</w:t>
      </w:r>
      <w:r>
        <w:rPr>
          <w:rFonts w:hint="eastAsia" w:ascii="仿宋_GB2312" w:eastAsia="仿宋_GB2312"/>
          <w:color w:val="000000" w:themeColor="text1"/>
          <w:sz w:val="32"/>
          <w:szCs w:val="32"/>
        </w:rPr>
        <w:t>应实行实名制购票，做到可查询可追踪。鼓励景区积极利用大数据和智慧手段，做好游客信息动态监测。</w:t>
      </w:r>
      <w:r>
        <w:rPr>
          <w:rFonts w:hint="eastAsia" w:eastAsia="仿宋_GB2312"/>
          <w:color w:val="000000" w:themeColor="text1"/>
          <w:sz w:val="32"/>
          <w:szCs w:val="32"/>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w:t>
      </w:r>
      <w:r>
        <w:rPr>
          <w:rFonts w:hint="eastAsia" w:ascii="楷体_GB2312" w:eastAsia="楷体_GB2312"/>
          <w:color w:val="000000" w:themeColor="text1"/>
          <w:sz w:val="32"/>
          <w:szCs w:val="32"/>
        </w:rPr>
        <w:t>　（十二）加强游客防护。</w:t>
      </w:r>
      <w:r>
        <w:rPr>
          <w:rFonts w:hint="eastAsia" w:ascii="仿宋_GB2312" w:eastAsia="仿宋_GB2312"/>
          <w:color w:val="000000" w:themeColor="text1"/>
          <w:sz w:val="32"/>
          <w:szCs w:val="32"/>
        </w:rPr>
        <w:t>鼓励景区采取互联网售票、二维码验票等方式有效减少人员接触。结合实际采取体温监测等方式，对游客进行健康筛查，出现异常情况要及时报告。保持交通、购票、游览、休息、餐饮等场所人员间距。</w:t>
      </w:r>
      <w:r>
        <w:rPr>
          <w:rFonts w:hint="eastAsia" w:eastAsia="仿宋_GB2312"/>
          <w:color w:val="000000" w:themeColor="text1"/>
          <w:sz w:val="32"/>
          <w:szCs w:val="32"/>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w:t>
      </w:r>
      <w:r>
        <w:rPr>
          <w:rFonts w:hint="eastAsia" w:ascii="楷体_GB2312" w:eastAsia="楷体_GB2312"/>
          <w:color w:val="000000" w:themeColor="text1"/>
          <w:sz w:val="32"/>
          <w:szCs w:val="32"/>
        </w:rPr>
        <w:t>（十三）防止人员聚集。</w:t>
      </w:r>
      <w:r>
        <w:rPr>
          <w:rFonts w:hint="eastAsia" w:ascii="仿宋_GB2312" w:eastAsia="仿宋_GB2312"/>
          <w:color w:val="000000" w:themeColor="text1"/>
          <w:sz w:val="32"/>
          <w:szCs w:val="32"/>
        </w:rPr>
        <w:t>应采取分时段、间隔性办法安排游客入园。景区出入口、重要参观点、狭窄通道等容易出现人员聚集位置要配备管理人员，加强游客秩序管理。优化设置游览线路，避免瞬时拥堵。</w:t>
      </w:r>
      <w:r>
        <w:rPr>
          <w:rFonts w:hint="eastAsia" w:eastAsia="仿宋_GB2312"/>
          <w:color w:val="000000" w:themeColor="text1"/>
          <w:sz w:val="32"/>
          <w:szCs w:val="32"/>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w:t>
      </w:r>
      <w:r>
        <w:rPr>
          <w:rFonts w:hint="eastAsia" w:ascii="楷体_GB2312" w:eastAsia="楷体_GB2312"/>
          <w:color w:val="000000" w:themeColor="text1"/>
          <w:sz w:val="32"/>
          <w:szCs w:val="32"/>
        </w:rPr>
        <w:t>（十四）优化游览环境。</w:t>
      </w:r>
      <w:r>
        <w:rPr>
          <w:rFonts w:hint="eastAsia" w:ascii="仿宋_GB2312" w:eastAsia="仿宋_GB2312"/>
          <w:color w:val="000000" w:themeColor="text1"/>
          <w:sz w:val="32"/>
          <w:szCs w:val="32"/>
        </w:rPr>
        <w:t>餐饮服务单位应加强循环使用餐具清洁消毒或使用一次性无污染餐具，反对餐饮浪费，减少各项废弃物产生，优化游览环境。</w:t>
      </w:r>
      <w:r>
        <w:rPr>
          <w:rFonts w:hint="eastAsia" w:eastAsia="仿宋_GB2312"/>
          <w:color w:val="000000" w:themeColor="text1"/>
          <w:sz w:val="32"/>
          <w:szCs w:val="32"/>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w:t>
      </w:r>
      <w:r>
        <w:rPr>
          <w:rFonts w:hint="eastAsia" w:ascii="楷体_GB2312" w:eastAsia="楷体_GB2312"/>
          <w:color w:val="000000" w:themeColor="text1"/>
          <w:sz w:val="32"/>
          <w:szCs w:val="32"/>
        </w:rPr>
        <w:t>（十五）加强现场巡查。</w:t>
      </w:r>
      <w:r>
        <w:rPr>
          <w:rFonts w:hint="eastAsia" w:ascii="仿宋_GB2312" w:eastAsia="仿宋_GB2312"/>
          <w:color w:val="000000" w:themeColor="text1"/>
          <w:sz w:val="32"/>
          <w:szCs w:val="32"/>
        </w:rPr>
        <w:t>应配备人员加大景区巡查力度，对不符合疫情防控要求、不文明旅游等行为进行及时劝诫，切实维护好景区游览秩序。</w:t>
      </w:r>
      <w:r>
        <w:rPr>
          <w:rFonts w:hint="eastAsia" w:eastAsia="仿宋_GB2312"/>
          <w:color w:val="000000" w:themeColor="text1"/>
          <w:sz w:val="32"/>
          <w:szCs w:val="32"/>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w:t>
      </w:r>
      <w:r>
        <w:rPr>
          <w:rFonts w:hint="eastAsia" w:ascii="楷体_GB2312" w:eastAsia="楷体_GB2312"/>
          <w:color w:val="000000" w:themeColor="text1"/>
          <w:sz w:val="32"/>
          <w:szCs w:val="32"/>
        </w:rPr>
        <w:t>（十六）加强防控知识宣传。</w:t>
      </w:r>
      <w:r>
        <w:rPr>
          <w:rFonts w:hint="eastAsia" w:ascii="仿宋_GB2312" w:eastAsia="仿宋_GB2312"/>
          <w:color w:val="000000" w:themeColor="text1"/>
          <w:sz w:val="32"/>
          <w:szCs w:val="32"/>
        </w:rPr>
        <w:t>应通过官方网站、微信公众号、游客服务中心、提示牌、广播、电子显示屏等平台，及时发布景区恢复开放管理措施和疫情防控知识，帮助游客掌握防护要点，引导游客增强防护意识、配合防控工作。</w:t>
      </w:r>
      <w:r>
        <w:rPr>
          <w:rFonts w:hint="eastAsia" w:eastAsia="仿宋_GB2312"/>
          <w:color w:val="000000" w:themeColor="text1"/>
          <w:sz w:val="32"/>
          <w:szCs w:val="32"/>
        </w:rPr>
        <w:t> </w:t>
      </w:r>
    </w:p>
    <w:p>
      <w:pPr>
        <w:pStyle w:val="4"/>
        <w:shd w:val="clear" w:color="auto" w:fill="FFFFFF"/>
        <w:spacing w:before="0" w:beforeAutospacing="0" w:after="0" w:afterAutospacing="0" w:line="600" w:lineRule="exact"/>
        <w:rPr>
          <w:rFonts w:ascii="黑体" w:hAnsi="黑体" w:eastAsia="黑体"/>
          <w:color w:val="000000" w:themeColor="text1"/>
          <w:sz w:val="32"/>
          <w:szCs w:val="32"/>
        </w:rPr>
      </w:pPr>
      <w:r>
        <w:rPr>
          <w:rFonts w:hint="eastAsia" w:ascii="黑体" w:hAnsi="黑体" w:eastAsia="黑体"/>
          <w:color w:val="000000" w:themeColor="text1"/>
          <w:sz w:val="32"/>
          <w:szCs w:val="32"/>
        </w:rPr>
        <w:t>　　五、及时有效处置异常情况</w:t>
      </w:r>
      <w:r>
        <w:rPr>
          <w:rFonts w:hint="eastAsia" w:eastAsia="黑体"/>
          <w:color w:val="000000" w:themeColor="text1"/>
          <w:sz w:val="32"/>
          <w:szCs w:val="32"/>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w:t>
      </w:r>
      <w:r>
        <w:rPr>
          <w:rFonts w:hint="eastAsia" w:ascii="楷体_GB2312" w:eastAsia="楷体_GB2312"/>
          <w:color w:val="000000" w:themeColor="text1"/>
          <w:sz w:val="32"/>
          <w:szCs w:val="32"/>
        </w:rPr>
        <w:t>（十七）加强沟通联动。</w:t>
      </w:r>
      <w:r>
        <w:rPr>
          <w:rFonts w:hint="eastAsia" w:ascii="仿宋_GB2312" w:eastAsia="仿宋_GB2312"/>
          <w:color w:val="000000" w:themeColor="text1"/>
          <w:sz w:val="32"/>
          <w:szCs w:val="32"/>
        </w:rPr>
        <w:t>加强与当地卫生防疫和文化旅游等部门联动，发生异常情况应及时上报。</w:t>
      </w:r>
      <w:r>
        <w:rPr>
          <w:rFonts w:hint="eastAsia" w:eastAsia="仿宋_GB2312"/>
          <w:color w:val="000000" w:themeColor="text1"/>
          <w:sz w:val="32"/>
          <w:szCs w:val="32"/>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w:t>
      </w:r>
      <w:r>
        <w:rPr>
          <w:rFonts w:hint="eastAsia" w:ascii="楷体_GB2312" w:eastAsia="楷体_GB2312"/>
          <w:color w:val="000000" w:themeColor="text1"/>
          <w:sz w:val="32"/>
          <w:szCs w:val="32"/>
        </w:rPr>
        <w:t>（十八）做好应对处置。</w:t>
      </w:r>
      <w:r>
        <w:rPr>
          <w:rFonts w:hint="eastAsia" w:ascii="仿宋_GB2312" w:eastAsia="仿宋_GB2312"/>
          <w:color w:val="000000" w:themeColor="text1"/>
          <w:sz w:val="32"/>
          <w:szCs w:val="32"/>
        </w:rPr>
        <w:t>发现疑似症状员工或病例的景区，要立即采取隔离措施，加强密切接触者追踪、疫点消毒工作，按照当地党委政府要求，及时做好应对处置工作。</w:t>
      </w:r>
    </w:p>
    <w:p>
      <w:pPr>
        <w:spacing w:line="600" w:lineRule="exact"/>
        <w:ind w:firstLine="640" w:firstLineChars="200"/>
        <w:contextualSpacing/>
        <w:rPr>
          <w:rFonts w:ascii="仿宋_GB2312" w:hAnsi="Times New Roman" w:eastAsia="仿宋_GB2312" w:cs="Times New Roman"/>
          <w:bCs/>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sz w:val="30"/>
        <w:szCs w:val="30"/>
      </w:rPr>
    </w:pPr>
    <w:r>
      <w:rPr>
        <w:rStyle w:val="7"/>
        <w:sz w:val="30"/>
        <w:szCs w:val="30"/>
      </w:rPr>
      <w:fldChar w:fldCharType="begin"/>
    </w:r>
    <w:r>
      <w:rPr>
        <w:rStyle w:val="7"/>
        <w:sz w:val="30"/>
        <w:szCs w:val="30"/>
      </w:rPr>
      <w:instrText xml:space="preserve">PAGE  </w:instrText>
    </w:r>
    <w:r>
      <w:rPr>
        <w:rStyle w:val="7"/>
        <w:sz w:val="30"/>
        <w:szCs w:val="30"/>
      </w:rPr>
      <w:fldChar w:fldCharType="separate"/>
    </w:r>
    <w:r>
      <w:rPr>
        <w:rStyle w:val="7"/>
        <w:sz w:val="30"/>
        <w:szCs w:val="30"/>
      </w:rPr>
      <w:t>4</w:t>
    </w:r>
    <w:r>
      <w:rPr>
        <w:rStyle w:val="7"/>
        <w:sz w:val="30"/>
        <w:szCs w:val="30"/>
      </w:rPr>
      <w:fldChar w:fldCharType="end"/>
    </w:r>
  </w:p>
  <w:p>
    <w:pPr>
      <w:pStyle w:val="2"/>
      <w:ind w:right="360" w:firstLine="360"/>
      <w:rPr>
        <w:sz w:val="30"/>
        <w:szCs w:val="3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B3"/>
    <w:rsid w:val="00000635"/>
    <w:rsid w:val="0001689B"/>
    <w:rsid w:val="00044D88"/>
    <w:rsid w:val="00064E72"/>
    <w:rsid w:val="0011597D"/>
    <w:rsid w:val="0012322A"/>
    <w:rsid w:val="00161142"/>
    <w:rsid w:val="00285772"/>
    <w:rsid w:val="002D0945"/>
    <w:rsid w:val="0059075A"/>
    <w:rsid w:val="005C262F"/>
    <w:rsid w:val="005C444A"/>
    <w:rsid w:val="005D013F"/>
    <w:rsid w:val="006178DA"/>
    <w:rsid w:val="007846F9"/>
    <w:rsid w:val="007F2880"/>
    <w:rsid w:val="008855B3"/>
    <w:rsid w:val="00997EA0"/>
    <w:rsid w:val="009B7C40"/>
    <w:rsid w:val="00A52226"/>
    <w:rsid w:val="00A658B0"/>
    <w:rsid w:val="00B71645"/>
    <w:rsid w:val="00BA4318"/>
    <w:rsid w:val="00CA0748"/>
    <w:rsid w:val="00CE298F"/>
    <w:rsid w:val="00CE55AA"/>
    <w:rsid w:val="00D13C7C"/>
    <w:rsid w:val="00E778E6"/>
    <w:rsid w:val="00EF22F8"/>
    <w:rsid w:val="00F61825"/>
    <w:rsid w:val="00F97CCA"/>
    <w:rsid w:val="00FC266A"/>
    <w:rsid w:val="1369666E"/>
    <w:rsid w:val="1BCE3998"/>
    <w:rsid w:val="2C904D68"/>
    <w:rsid w:val="30536266"/>
    <w:rsid w:val="32406742"/>
    <w:rsid w:val="34E83947"/>
    <w:rsid w:val="42762A1E"/>
    <w:rsid w:val="4CE42FD7"/>
    <w:rsid w:val="54434249"/>
    <w:rsid w:val="59F97509"/>
    <w:rsid w:val="5CBF3EA8"/>
    <w:rsid w:val="5E692D5D"/>
    <w:rsid w:val="5E805318"/>
    <w:rsid w:val="68937E96"/>
    <w:rsid w:val="6B757F5D"/>
    <w:rsid w:val="6D465CE2"/>
    <w:rsid w:val="71EE1D36"/>
    <w:rsid w:val="7556470E"/>
    <w:rsid w:val="779C2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pPr>
    <w:rPr>
      <w:rFonts w:ascii="宋体" w:hAnsi="宋体" w:cs="宋体"/>
      <w:szCs w:val="24"/>
    </w:rPr>
  </w:style>
  <w:style w:type="character" w:styleId="7">
    <w:name w:val="page number"/>
    <w:basedOn w:val="6"/>
    <w:qFormat/>
    <w:uiPriority w:val="0"/>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498</Words>
  <Characters>2840</Characters>
  <Lines>23</Lines>
  <Paragraphs>6</Paragraphs>
  <TotalTime>24</TotalTime>
  <ScaleCrop>false</ScaleCrop>
  <LinksUpToDate>false</LinksUpToDate>
  <CharactersWithSpaces>3332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2021-04-08T14:17:00Z</dcterms:created>
  <dc:creator>陈亮</dc:creator>
  <cp:lastModifiedBy>use</cp:lastModifiedBy>
  <cp:lastPrinted>2021-04-09T06:40:00Z</cp:lastPrinted>
  <dcterms:modified xsi:type="dcterms:W3CDTF">2021-04-09T09:02:32Z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886B4E3DD58945079172DB280A589BF3</vt:lpwstr>
  </property>
</Properties>
</file>