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A3" w:rsidRDefault="00682EA3" w:rsidP="003B22E8">
      <w:pPr>
        <w:pStyle w:val="a5"/>
        <w:shd w:val="clear" w:color="auto" w:fill="FFFFFF"/>
        <w:spacing w:before="0" w:beforeAutospacing="0" w:after="0" w:afterAutospacing="0" w:line="560" w:lineRule="exact"/>
        <w:jc w:val="center"/>
        <w:rPr>
          <w:rFonts w:ascii="方正小标宋简体" w:eastAsia="方正小标宋简体"/>
          <w:sz w:val="44"/>
          <w:szCs w:val="44"/>
        </w:rPr>
      </w:pPr>
      <w:r w:rsidRPr="006E21B8">
        <w:rPr>
          <w:rFonts w:ascii="方正小标宋简体" w:eastAsia="方正小标宋简体" w:hint="eastAsia"/>
          <w:sz w:val="44"/>
          <w:szCs w:val="44"/>
        </w:rPr>
        <w:t>2021年度上海市促进文化创意产业发展</w:t>
      </w:r>
    </w:p>
    <w:p w:rsidR="00682EA3" w:rsidRDefault="00682EA3" w:rsidP="003B22E8">
      <w:pPr>
        <w:pStyle w:val="a5"/>
        <w:shd w:val="clear" w:color="auto" w:fill="FFFFFF"/>
        <w:spacing w:before="0" w:beforeAutospacing="0" w:after="0" w:afterAutospacing="0" w:line="560" w:lineRule="exact"/>
        <w:jc w:val="center"/>
        <w:rPr>
          <w:rFonts w:ascii="方正小标宋简体" w:eastAsia="方正小标宋简体"/>
          <w:sz w:val="44"/>
          <w:szCs w:val="44"/>
        </w:rPr>
      </w:pPr>
      <w:r w:rsidRPr="006E21B8">
        <w:rPr>
          <w:rFonts w:ascii="方正小标宋简体" w:eastAsia="方正小标宋简体" w:hint="eastAsia"/>
          <w:sz w:val="44"/>
          <w:szCs w:val="44"/>
        </w:rPr>
        <w:t>财政扶持资金成果资助类</w:t>
      </w:r>
    </w:p>
    <w:p w:rsidR="00682EA3" w:rsidRPr="006E21B8" w:rsidRDefault="00682EA3" w:rsidP="003B22E8">
      <w:pPr>
        <w:pStyle w:val="a5"/>
        <w:shd w:val="clear" w:color="auto" w:fill="FFFFFF"/>
        <w:spacing w:before="0" w:beforeAutospacing="0" w:after="0" w:afterAutospacing="0" w:line="560" w:lineRule="exact"/>
        <w:jc w:val="center"/>
        <w:rPr>
          <w:rFonts w:ascii="方正小标宋简体" w:eastAsia="方正小标宋简体"/>
          <w:sz w:val="44"/>
          <w:szCs w:val="44"/>
        </w:rPr>
      </w:pPr>
      <w:r w:rsidRPr="006E21B8">
        <w:rPr>
          <w:rFonts w:ascii="方正小标宋简体" w:eastAsia="方正小标宋简体" w:hint="eastAsia"/>
          <w:sz w:val="44"/>
          <w:szCs w:val="44"/>
        </w:rPr>
        <w:t>(</w:t>
      </w:r>
      <w:r w:rsidRPr="00D02242">
        <w:rPr>
          <w:rFonts w:ascii="方正小标宋_GBK" w:eastAsia="方正小标宋_GBK" w:hAnsi="黑体" w:hint="eastAsia"/>
          <w:bCs/>
          <w:color w:val="333333"/>
          <w:sz w:val="44"/>
          <w:szCs w:val="44"/>
        </w:rPr>
        <w:t>电竞</w:t>
      </w:r>
      <w:r w:rsidRPr="006E21B8">
        <w:rPr>
          <w:rFonts w:ascii="方正小标宋简体" w:eastAsia="方正小标宋简体" w:hint="eastAsia"/>
          <w:sz w:val="44"/>
          <w:szCs w:val="44"/>
        </w:rPr>
        <w:t>)申报指南</w:t>
      </w:r>
    </w:p>
    <w:p w:rsidR="00682EA3" w:rsidRDefault="00682EA3" w:rsidP="003B22E8">
      <w:pPr>
        <w:pStyle w:val="a5"/>
        <w:shd w:val="clear" w:color="auto" w:fill="FFFFFF"/>
        <w:spacing w:before="0" w:beforeAutospacing="0" w:after="0" w:afterAutospacing="0" w:line="560" w:lineRule="exact"/>
        <w:ind w:firstLineChars="200" w:firstLine="880"/>
        <w:rPr>
          <w:rFonts w:ascii="方正小标宋_GBK" w:eastAsia="方正小标宋_GBK" w:hAnsi="黑体"/>
          <w:bCs/>
          <w:color w:val="333333"/>
          <w:sz w:val="44"/>
          <w:szCs w:val="44"/>
        </w:rPr>
      </w:pPr>
    </w:p>
    <w:p w:rsidR="00D02242" w:rsidRPr="00D02242" w:rsidRDefault="00D02242" w:rsidP="003B22E8">
      <w:pPr>
        <w:spacing w:line="560" w:lineRule="exact"/>
        <w:ind w:left="643"/>
        <w:rPr>
          <w:rFonts w:ascii="黑体" w:eastAsia="黑体" w:hAnsi="黑体" w:cs="楷体_GB2312"/>
          <w:sz w:val="32"/>
          <w:szCs w:val="32"/>
        </w:rPr>
      </w:pPr>
      <w:r w:rsidRPr="00D02242">
        <w:rPr>
          <w:rFonts w:ascii="黑体" w:eastAsia="黑体" w:hAnsi="黑体" w:cs="楷体_GB2312" w:hint="eastAsia"/>
          <w:sz w:val="32"/>
          <w:szCs w:val="32"/>
        </w:rPr>
        <w:t>一、支持重点和范围</w:t>
      </w:r>
    </w:p>
    <w:p w:rsidR="00D02242" w:rsidRDefault="00D02242" w:rsidP="003B22E8">
      <w:pPr>
        <w:adjustRightInd w:val="0"/>
        <w:snapToGrid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重点支持在本市举办的具有行业影响力的第三方电竞赛事、运营良好的电竞场馆、取得优秀成绩的电竞战队以及提供高质量内容制作分发的平台。</w:t>
      </w:r>
    </w:p>
    <w:p w:rsidR="00D02242" w:rsidRDefault="00D02242" w:rsidP="003B22E8">
      <w:pPr>
        <w:adjustRightInd w:val="0"/>
        <w:snapToGrid w:val="0"/>
        <w:spacing w:line="560" w:lineRule="exact"/>
        <w:ind w:firstLineChars="200" w:firstLine="640"/>
        <w:rPr>
          <w:rFonts w:ascii="楷体_GB2312" w:eastAsia="楷体_GB2312" w:hAnsi="楷体_GB2312" w:cs="楷体_GB2312"/>
          <w:b/>
          <w:sz w:val="32"/>
          <w:szCs w:val="32"/>
        </w:rPr>
      </w:pPr>
      <w:r>
        <w:rPr>
          <w:rFonts w:ascii="仿宋_GB2312" w:eastAsia="仿宋_GB2312" w:hAnsi="微软雅黑" w:cs="宋体" w:hint="eastAsia"/>
          <w:kern w:val="0"/>
          <w:sz w:val="32"/>
          <w:szCs w:val="32"/>
        </w:rPr>
        <w:t>项目申报单位注册地在上海，具有独立法人资格的企事业单位或社会组织，其中电竞直播企业应持有经营范围包含网络表演的《网络文化经营许可证》，电竞场馆须获得上海电竞专业场馆分级评定。支持的项目应在2020年1月1日至2020年12月31日期间完成，具有良好的社会效益及经济效益。</w:t>
      </w:r>
    </w:p>
    <w:p w:rsidR="00D02242" w:rsidRDefault="00D02242" w:rsidP="003B22E8">
      <w:pPr>
        <w:spacing w:line="560" w:lineRule="exact"/>
        <w:ind w:left="643"/>
        <w:rPr>
          <w:rFonts w:ascii="黑体" w:eastAsia="黑体" w:hAnsi="黑体" w:cs="楷体_GB2312"/>
          <w:sz w:val="32"/>
          <w:szCs w:val="32"/>
        </w:rPr>
      </w:pPr>
      <w:r w:rsidRPr="00D02242">
        <w:rPr>
          <w:rFonts w:ascii="黑体" w:eastAsia="黑体" w:hAnsi="黑体" w:cs="楷体_GB2312" w:hint="eastAsia"/>
          <w:sz w:val="32"/>
          <w:szCs w:val="32"/>
        </w:rPr>
        <w:t>二、申报条件</w:t>
      </w:r>
    </w:p>
    <w:p w:rsidR="00D02242" w:rsidRPr="00D02242" w:rsidRDefault="00D02242" w:rsidP="003B22E8">
      <w:pPr>
        <w:adjustRightInd w:val="0"/>
        <w:snapToGrid w:val="0"/>
        <w:spacing w:line="560" w:lineRule="exact"/>
        <w:ind w:firstLineChars="200" w:firstLine="643"/>
        <w:rPr>
          <w:rFonts w:ascii="楷体_GB2312" w:eastAsia="楷体_GB2312" w:hAnsi="微软雅黑" w:cs="宋体"/>
          <w:b/>
          <w:kern w:val="0"/>
          <w:sz w:val="32"/>
          <w:szCs w:val="32"/>
        </w:rPr>
      </w:pPr>
      <w:r w:rsidRPr="00D02242">
        <w:rPr>
          <w:rFonts w:ascii="楷体_GB2312" w:eastAsia="楷体_GB2312" w:hAnsi="微软雅黑" w:cs="宋体" w:hint="eastAsia"/>
          <w:b/>
          <w:kern w:val="0"/>
          <w:sz w:val="32"/>
          <w:szCs w:val="32"/>
        </w:rPr>
        <w:t>（一）在本市举办的具有行业影响力的第三方电竞赛事活动</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国际性职业电竞赛事：完整的赛制与晋级规则；赛事职业电竞战队参与数量不少于8支，其中境外队伍不少于参赛队伍总数的50%；赛事奖金不低于600万；2020年度总决赛在上海举办，线下总决赛的现场观众不少于2000人。 </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职业电竞联赛或杯赛：完整的联赛或杯赛赛制和晋级规则；赛事职业电竞战队参与数量不少于8支；赛事奖金不低于100万；2020年度总决赛在上海举办，线下总决赛的现场</w:t>
      </w:r>
      <w:r>
        <w:rPr>
          <w:rFonts w:ascii="仿宋_GB2312" w:eastAsia="仿宋_GB2312" w:hAnsi="仿宋" w:cs="仿宋_GB2312" w:hint="eastAsia"/>
          <w:sz w:val="32"/>
          <w:szCs w:val="32"/>
        </w:rPr>
        <w:lastRenderedPageBreak/>
        <w:t xml:space="preserve">观众不少于500人。 </w:t>
      </w:r>
    </w:p>
    <w:p w:rsidR="00D02242" w:rsidRPr="00D02242" w:rsidRDefault="00D02242" w:rsidP="003B22E8">
      <w:pPr>
        <w:adjustRightInd w:val="0"/>
        <w:snapToGrid w:val="0"/>
        <w:spacing w:line="560" w:lineRule="exact"/>
        <w:ind w:firstLineChars="200" w:firstLine="643"/>
        <w:rPr>
          <w:rFonts w:ascii="楷体_GB2312" w:eastAsia="楷体_GB2312" w:hAnsi="微软雅黑" w:cs="宋体"/>
          <w:b/>
          <w:kern w:val="0"/>
          <w:sz w:val="32"/>
          <w:szCs w:val="32"/>
        </w:rPr>
      </w:pPr>
      <w:r w:rsidRPr="00D02242">
        <w:rPr>
          <w:rFonts w:ascii="楷体_GB2312" w:eastAsia="楷体_GB2312" w:hAnsi="微软雅黑" w:cs="宋体" w:hint="eastAsia"/>
          <w:b/>
          <w:kern w:val="0"/>
          <w:sz w:val="32"/>
          <w:szCs w:val="32"/>
        </w:rPr>
        <w:t>（二）在本市注册成立并营运的电竞场馆</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A级场馆：2020年举办职业电竞赛事不少于1场。</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B级场馆：2020年举办电竞赛事不少于6个或者举办的电竞赛事总场次数不少于50场，主营收入不少于150万元。</w:t>
      </w:r>
    </w:p>
    <w:p w:rsidR="00D02242" w:rsidRPr="00D02242" w:rsidRDefault="00D02242" w:rsidP="003B22E8">
      <w:pPr>
        <w:adjustRightInd w:val="0"/>
        <w:snapToGrid w:val="0"/>
        <w:spacing w:line="560" w:lineRule="exact"/>
        <w:ind w:firstLineChars="200" w:firstLine="643"/>
        <w:rPr>
          <w:rFonts w:ascii="楷体_GB2312" w:eastAsia="楷体_GB2312" w:hAnsi="微软雅黑" w:cs="宋体"/>
          <w:b/>
          <w:kern w:val="0"/>
          <w:sz w:val="32"/>
          <w:szCs w:val="32"/>
        </w:rPr>
      </w:pPr>
      <w:r w:rsidRPr="00D02242">
        <w:rPr>
          <w:rFonts w:ascii="楷体_GB2312" w:eastAsia="楷体_GB2312" w:hAnsi="微软雅黑" w:cs="宋体" w:hint="eastAsia"/>
          <w:b/>
          <w:kern w:val="0"/>
          <w:sz w:val="32"/>
          <w:szCs w:val="32"/>
        </w:rPr>
        <w:t>（三）在本市注册成立的电子竞技战队</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有完善的运营体系、管理体系；俱乐部需配备专业教练至少1名，正式队员不得少于10人，预备队员不得少于4人，其中在上海电子竞技运动协会注册的电竞运动员不少于1人，所有参加电竞赛事的选手必须年满18周岁，且组队参赛的战队中境外身份选手不得超过50%；2020年参与各类赛事不得少于6个，其中参与国内赛事不少于5个，参与国际赛事不少于1个；2020年度内获得国际性职业电竞赛事4强。</w:t>
      </w:r>
    </w:p>
    <w:p w:rsidR="00D02242" w:rsidRPr="00D02242" w:rsidRDefault="00D02242" w:rsidP="003B22E8">
      <w:pPr>
        <w:adjustRightInd w:val="0"/>
        <w:snapToGrid w:val="0"/>
        <w:spacing w:line="560" w:lineRule="exact"/>
        <w:ind w:firstLineChars="200" w:firstLine="643"/>
        <w:rPr>
          <w:rFonts w:ascii="楷体_GB2312" w:eastAsia="楷体_GB2312" w:hAnsi="微软雅黑" w:cs="宋体"/>
          <w:b/>
          <w:kern w:val="0"/>
          <w:sz w:val="32"/>
          <w:szCs w:val="32"/>
        </w:rPr>
      </w:pPr>
      <w:r w:rsidRPr="00D02242">
        <w:rPr>
          <w:rFonts w:ascii="楷体_GB2312" w:eastAsia="楷体_GB2312" w:hAnsi="微软雅黑" w:cs="宋体" w:hint="eastAsia"/>
          <w:b/>
          <w:kern w:val="0"/>
          <w:sz w:val="32"/>
          <w:szCs w:val="32"/>
        </w:rPr>
        <w:t>（四）内容制作分发平台</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2020年对全国性及以上职业电竞赛事的原创精品电竞内容制作分发不少于20个，制作分发的电竞内容时长超过500小时，制作分发的电竞内容最高同时在线观看人数不低于100万的至少2场，鼓励创新内容制作分发方式。</w:t>
      </w:r>
    </w:p>
    <w:p w:rsidR="00D02242" w:rsidRPr="00D02242" w:rsidRDefault="00D02242" w:rsidP="003B22E8">
      <w:pPr>
        <w:spacing w:line="560" w:lineRule="exact"/>
        <w:ind w:left="643"/>
        <w:rPr>
          <w:rFonts w:ascii="黑体" w:eastAsia="黑体" w:hAnsi="黑体" w:cs="楷体_GB2312"/>
          <w:sz w:val="32"/>
          <w:szCs w:val="32"/>
        </w:rPr>
      </w:pPr>
      <w:r w:rsidRPr="00D02242">
        <w:rPr>
          <w:rFonts w:ascii="黑体" w:eastAsia="黑体" w:hAnsi="黑体" w:cs="楷体_GB2312" w:hint="eastAsia"/>
          <w:sz w:val="32"/>
          <w:szCs w:val="32"/>
        </w:rPr>
        <w:t>三、申报材料</w:t>
      </w:r>
    </w:p>
    <w:p w:rsidR="00D02242" w:rsidRDefault="00D02242" w:rsidP="003B22E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1.《上海市促进文化创意产业发展财政扶持资金申请表（成果资助类项目-电竞）》。</w:t>
      </w:r>
    </w:p>
    <w:p w:rsidR="00D02242" w:rsidRDefault="00D02242" w:rsidP="003B22E8">
      <w:pPr>
        <w:spacing w:line="560" w:lineRule="exact"/>
        <w:ind w:firstLineChars="200" w:firstLine="640"/>
        <w:rPr>
          <w:rFonts w:ascii="仿宋_GB2312" w:eastAsia="仿宋_GB2312"/>
          <w:sz w:val="32"/>
          <w:szCs w:val="32"/>
        </w:rPr>
      </w:pPr>
      <w:r>
        <w:rPr>
          <w:rFonts w:ascii="仿宋_GB2312" w:eastAsia="仿宋_GB2312" w:hAnsi="仿宋" w:cs="仿宋_GB2312" w:hint="eastAsia"/>
          <w:sz w:val="32"/>
          <w:szCs w:val="32"/>
        </w:rPr>
        <w:t>2. 有关附加材料详见申请表说明。</w:t>
      </w:r>
    </w:p>
    <w:p w:rsidR="00DB3272" w:rsidRPr="00D02242" w:rsidRDefault="00DB3272" w:rsidP="003B22E8">
      <w:pPr>
        <w:spacing w:line="560" w:lineRule="exact"/>
      </w:pPr>
    </w:p>
    <w:sectPr w:rsidR="00DB3272" w:rsidRPr="00D02242" w:rsidSect="009643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44D" w:rsidRDefault="00A5244D" w:rsidP="00D02242">
      <w:r>
        <w:separator/>
      </w:r>
    </w:p>
  </w:endnote>
  <w:endnote w:type="continuationSeparator" w:id="1">
    <w:p w:rsidR="00A5244D" w:rsidRDefault="00A5244D" w:rsidP="00D02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44D" w:rsidRDefault="00A5244D" w:rsidP="00D02242">
      <w:r>
        <w:separator/>
      </w:r>
    </w:p>
  </w:footnote>
  <w:footnote w:type="continuationSeparator" w:id="1">
    <w:p w:rsidR="00A5244D" w:rsidRDefault="00A5244D" w:rsidP="00D02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0CB49"/>
    <w:multiLevelType w:val="singleLevel"/>
    <w:tmpl w:val="5440CB49"/>
    <w:lvl w:ilvl="0">
      <w:start w:val="1"/>
      <w:numFmt w:val="chineseCounting"/>
      <w:suff w:val="nothing"/>
      <w:lvlText w:val="（%1）"/>
      <w:lvlJc w:val="left"/>
      <w:pPr>
        <w:ind w:left="0" w:firstLine="420"/>
      </w:pPr>
      <w:rPr>
        <w:rFonts w:hint="eastAsia"/>
      </w:rPr>
    </w:lvl>
  </w:abstractNum>
  <w:abstractNum w:abstractNumId="1">
    <w:nsid w:val="72FAE7F0"/>
    <w:multiLevelType w:val="singleLevel"/>
    <w:tmpl w:val="72FAE7F0"/>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2242"/>
    <w:rsid w:val="003B22E8"/>
    <w:rsid w:val="00682EA3"/>
    <w:rsid w:val="00964337"/>
    <w:rsid w:val="00A5244D"/>
    <w:rsid w:val="00B81C8E"/>
    <w:rsid w:val="00D02242"/>
    <w:rsid w:val="00DB3272"/>
    <w:rsid w:val="00E90A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4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22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2242"/>
    <w:rPr>
      <w:sz w:val="18"/>
      <w:szCs w:val="18"/>
    </w:rPr>
  </w:style>
  <w:style w:type="paragraph" w:styleId="a4">
    <w:name w:val="footer"/>
    <w:basedOn w:val="a"/>
    <w:link w:val="Char0"/>
    <w:uiPriority w:val="99"/>
    <w:semiHidden/>
    <w:unhideWhenUsed/>
    <w:rsid w:val="00D022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2242"/>
    <w:rPr>
      <w:sz w:val="18"/>
      <w:szCs w:val="18"/>
    </w:rPr>
  </w:style>
  <w:style w:type="paragraph" w:styleId="a5">
    <w:name w:val="Normal (Web)"/>
    <w:basedOn w:val="a"/>
    <w:qFormat/>
    <w:rsid w:val="00D0224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余菲菲</dc:creator>
  <cp:keywords/>
  <dc:description/>
  <cp:lastModifiedBy>余菲菲</cp:lastModifiedBy>
  <cp:revision>4</cp:revision>
  <dcterms:created xsi:type="dcterms:W3CDTF">2021-01-25T06:24:00Z</dcterms:created>
  <dcterms:modified xsi:type="dcterms:W3CDTF">2021-01-25T06:59:00Z</dcterms:modified>
</cp:coreProperties>
</file>